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81E38" w:rsidRDefault="00E82967">
      <w:pPr>
        <w:jc w:val="center"/>
        <w:rPr>
          <w:rFonts w:ascii="Arial" w:eastAsia="Arial" w:hAnsi="Arial" w:cs="Arial"/>
          <w:b/>
          <w:sz w:val="22"/>
          <w:szCs w:val="22"/>
        </w:rPr>
      </w:pPr>
      <w:r>
        <w:rPr>
          <w:rFonts w:ascii="Arial" w:eastAsia="Arial" w:hAnsi="Arial" w:cs="Arial"/>
          <w:b/>
          <w:sz w:val="22"/>
          <w:szCs w:val="22"/>
        </w:rPr>
        <w:t xml:space="preserve">MATRIZ DE RESPONSABILIZAÇÃO </w:t>
      </w:r>
    </w:p>
    <w:p w:rsidR="00B81E38" w:rsidRDefault="00B81E38">
      <w:pPr>
        <w:spacing w:before="58"/>
        <w:rPr>
          <w:rFonts w:ascii="Arial" w:eastAsia="Arial" w:hAnsi="Arial" w:cs="Arial"/>
          <w:b/>
          <w:sz w:val="20"/>
          <w:szCs w:val="20"/>
        </w:rPr>
      </w:pPr>
    </w:p>
    <w:tbl>
      <w:tblPr>
        <w:tblStyle w:val="a"/>
        <w:tblW w:w="14565" w:type="dxa"/>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50"/>
        <w:gridCol w:w="11715"/>
      </w:tblGrid>
      <w:tr w:rsidR="00B81E38">
        <w:tc>
          <w:tcPr>
            <w:tcW w:w="2850" w:type="dxa"/>
            <w:shd w:val="clear" w:color="auto" w:fill="CCCCCC"/>
          </w:tcPr>
          <w:p w:rsidR="00B81E38" w:rsidRDefault="00E82967">
            <w:pPr>
              <w:spacing w:before="58"/>
              <w:rPr>
                <w:rFonts w:ascii="Arial" w:eastAsia="Arial" w:hAnsi="Arial" w:cs="Arial"/>
                <w:b/>
                <w:sz w:val="20"/>
                <w:szCs w:val="20"/>
              </w:rPr>
            </w:pPr>
            <w:r>
              <w:rPr>
                <w:rFonts w:ascii="Arial" w:eastAsia="Arial" w:hAnsi="Arial" w:cs="Arial"/>
                <w:b/>
                <w:sz w:val="20"/>
                <w:szCs w:val="20"/>
              </w:rPr>
              <w:t>UNIDADE JURISDICIONADA</w:t>
            </w:r>
          </w:p>
        </w:tc>
        <w:tc>
          <w:tcPr>
            <w:tcW w:w="11715" w:type="dxa"/>
            <w:shd w:val="clear" w:color="auto" w:fill="auto"/>
          </w:tcPr>
          <w:p w:rsidR="00B81E38" w:rsidRDefault="00B81E38">
            <w:pPr>
              <w:spacing w:before="58"/>
              <w:rPr>
                <w:rFonts w:ascii="Arial" w:eastAsia="Arial" w:hAnsi="Arial" w:cs="Arial"/>
                <w:b/>
                <w:sz w:val="20"/>
                <w:szCs w:val="20"/>
              </w:rPr>
            </w:pPr>
            <w:bookmarkStart w:id="0" w:name="_GoBack"/>
            <w:bookmarkEnd w:id="0"/>
          </w:p>
        </w:tc>
      </w:tr>
      <w:tr w:rsidR="00B81E38">
        <w:trPr>
          <w:trHeight w:val="232"/>
        </w:trPr>
        <w:tc>
          <w:tcPr>
            <w:tcW w:w="2850" w:type="dxa"/>
            <w:shd w:val="clear" w:color="auto" w:fill="CCCCCC"/>
          </w:tcPr>
          <w:p w:rsidR="00B81E38" w:rsidRDefault="00E82967">
            <w:pPr>
              <w:spacing w:before="58"/>
              <w:rPr>
                <w:rFonts w:ascii="Arial" w:eastAsia="Arial" w:hAnsi="Arial" w:cs="Arial"/>
                <w:b/>
                <w:sz w:val="20"/>
                <w:szCs w:val="20"/>
              </w:rPr>
            </w:pPr>
            <w:r>
              <w:rPr>
                <w:rFonts w:ascii="Arial" w:eastAsia="Arial" w:hAnsi="Arial" w:cs="Arial"/>
                <w:b/>
                <w:sz w:val="20"/>
                <w:szCs w:val="20"/>
              </w:rPr>
              <w:t>OBJETO DA FISCALIZAÇÃO</w:t>
            </w:r>
          </w:p>
        </w:tc>
        <w:tc>
          <w:tcPr>
            <w:tcW w:w="11715" w:type="dxa"/>
            <w:shd w:val="clear" w:color="auto" w:fill="auto"/>
          </w:tcPr>
          <w:p w:rsidR="00B81E38" w:rsidRDefault="00B81E38">
            <w:pPr>
              <w:spacing w:before="58"/>
              <w:rPr>
                <w:rFonts w:ascii="Arial" w:eastAsia="Arial" w:hAnsi="Arial" w:cs="Arial"/>
                <w:b/>
                <w:sz w:val="20"/>
                <w:szCs w:val="20"/>
              </w:rPr>
            </w:pPr>
          </w:p>
        </w:tc>
      </w:tr>
    </w:tbl>
    <w:p w:rsidR="00B81E38" w:rsidRDefault="00B81E38">
      <w:pPr>
        <w:jc w:val="both"/>
        <w:rPr>
          <w:rFonts w:ascii="Rasa" w:eastAsia="Rasa" w:hAnsi="Rasa" w:cs="Rasa"/>
          <w:sz w:val="20"/>
          <w:szCs w:val="20"/>
        </w:rPr>
      </w:pPr>
    </w:p>
    <w:tbl>
      <w:tblPr>
        <w:tblStyle w:val="a0"/>
        <w:tblW w:w="14580"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10"/>
        <w:gridCol w:w="11670"/>
      </w:tblGrid>
      <w:tr w:rsidR="00B81E38">
        <w:trPr>
          <w:trHeight w:val="787"/>
        </w:trPr>
        <w:tc>
          <w:tcPr>
            <w:tcW w:w="2910" w:type="dxa"/>
            <w:shd w:val="clear" w:color="auto" w:fill="CCCCCC"/>
          </w:tcPr>
          <w:p w:rsidR="00B81E38" w:rsidRDefault="00E82967">
            <w:pPr>
              <w:spacing w:before="58"/>
              <w:rPr>
                <w:rFonts w:ascii="Arial" w:eastAsia="Arial" w:hAnsi="Arial" w:cs="Arial"/>
                <w:b/>
                <w:sz w:val="20"/>
                <w:szCs w:val="20"/>
              </w:rPr>
            </w:pPr>
            <w:r>
              <w:rPr>
                <w:rFonts w:ascii="Arial" w:eastAsia="Arial" w:hAnsi="Arial" w:cs="Arial"/>
                <w:b/>
                <w:color w:val="000000"/>
                <w:sz w:val="20"/>
                <w:szCs w:val="20"/>
              </w:rPr>
              <w:t>OBJETIVO DA AUDITORIA</w:t>
            </w:r>
          </w:p>
        </w:tc>
        <w:tc>
          <w:tcPr>
            <w:tcW w:w="11670" w:type="dxa"/>
            <w:shd w:val="clear" w:color="auto" w:fill="auto"/>
          </w:tcPr>
          <w:p w:rsidR="00B81E38" w:rsidRDefault="00B81E38">
            <w:pPr>
              <w:spacing w:before="58"/>
              <w:rPr>
                <w:rFonts w:ascii="Arial" w:eastAsia="Arial" w:hAnsi="Arial" w:cs="Arial"/>
                <w:b/>
                <w:sz w:val="20"/>
                <w:szCs w:val="20"/>
              </w:rPr>
            </w:pPr>
          </w:p>
        </w:tc>
      </w:tr>
    </w:tbl>
    <w:p w:rsidR="00B81E38" w:rsidRDefault="00B81E38">
      <w:pPr>
        <w:rPr>
          <w:rFonts w:ascii="Rasa" w:eastAsia="Rasa" w:hAnsi="Rasa" w:cs="Rasa"/>
          <w:sz w:val="20"/>
          <w:szCs w:val="20"/>
        </w:rPr>
      </w:pPr>
    </w:p>
    <w:tbl>
      <w:tblPr>
        <w:tblStyle w:val="a1"/>
        <w:tblW w:w="14600" w:type="dxa"/>
        <w:tblInd w:w="-72" w:type="dxa"/>
        <w:tblLayout w:type="fixed"/>
        <w:tblLook w:val="0000" w:firstRow="0" w:lastRow="0" w:firstColumn="0" w:lastColumn="0" w:noHBand="0" w:noVBand="0"/>
      </w:tblPr>
      <w:tblGrid>
        <w:gridCol w:w="1635"/>
        <w:gridCol w:w="1740"/>
        <w:gridCol w:w="1500"/>
        <w:gridCol w:w="2490"/>
        <w:gridCol w:w="2925"/>
        <w:gridCol w:w="2190"/>
        <w:gridCol w:w="2120"/>
      </w:tblGrid>
      <w:tr w:rsidR="00B81E38">
        <w:trPr>
          <w:trHeight w:val="386"/>
        </w:trPr>
        <w:tc>
          <w:tcPr>
            <w:tcW w:w="1635" w:type="dxa"/>
            <w:tcBorders>
              <w:top w:val="single" w:sz="4" w:space="0" w:color="000000"/>
              <w:left w:val="single" w:sz="4" w:space="0" w:color="000000"/>
              <w:bottom w:val="single" w:sz="4" w:space="0" w:color="000000"/>
            </w:tcBorders>
            <w:shd w:val="clear" w:color="auto" w:fill="BFBFBF"/>
            <w:vAlign w:val="center"/>
          </w:tcPr>
          <w:p w:rsidR="00B81E38" w:rsidRDefault="00E82967">
            <w:pPr>
              <w:jc w:val="center"/>
              <w:rPr>
                <w:rFonts w:ascii="Arial" w:eastAsia="Arial" w:hAnsi="Arial" w:cs="Arial"/>
                <w:b/>
                <w:sz w:val="20"/>
                <w:szCs w:val="20"/>
              </w:rPr>
            </w:pPr>
            <w:r>
              <w:rPr>
                <w:rFonts w:ascii="Arial" w:eastAsia="Arial" w:hAnsi="Arial" w:cs="Arial"/>
                <w:b/>
                <w:sz w:val="20"/>
                <w:szCs w:val="20"/>
              </w:rPr>
              <w:t>ACHADO</w:t>
            </w:r>
          </w:p>
        </w:tc>
        <w:tc>
          <w:tcPr>
            <w:tcW w:w="1740" w:type="dxa"/>
            <w:tcBorders>
              <w:top w:val="single" w:sz="4" w:space="0" w:color="000000"/>
              <w:left w:val="single" w:sz="4" w:space="0" w:color="000000"/>
              <w:bottom w:val="single" w:sz="4" w:space="0" w:color="000000"/>
            </w:tcBorders>
            <w:shd w:val="clear" w:color="auto" w:fill="BFBFBF"/>
            <w:vAlign w:val="center"/>
          </w:tcPr>
          <w:p w:rsidR="00B81E38" w:rsidRDefault="00E82967">
            <w:pPr>
              <w:jc w:val="center"/>
              <w:rPr>
                <w:rFonts w:ascii="Arial" w:eastAsia="Arial" w:hAnsi="Arial" w:cs="Arial"/>
                <w:b/>
                <w:sz w:val="20"/>
                <w:szCs w:val="20"/>
              </w:rPr>
            </w:pPr>
            <w:r>
              <w:rPr>
                <w:rFonts w:ascii="Arial" w:eastAsia="Arial" w:hAnsi="Arial" w:cs="Arial"/>
                <w:b/>
                <w:sz w:val="20"/>
                <w:szCs w:val="20"/>
              </w:rPr>
              <w:t>RESPONSÁVEL (IS)</w:t>
            </w:r>
          </w:p>
        </w:tc>
        <w:tc>
          <w:tcPr>
            <w:tcW w:w="1500" w:type="dxa"/>
            <w:tcBorders>
              <w:top w:val="single" w:sz="4" w:space="0" w:color="000000"/>
              <w:left w:val="single" w:sz="4" w:space="0" w:color="000000"/>
              <w:bottom w:val="single" w:sz="4" w:space="0" w:color="000000"/>
            </w:tcBorders>
            <w:shd w:val="clear" w:color="auto" w:fill="BFBFBF"/>
            <w:vAlign w:val="center"/>
          </w:tcPr>
          <w:p w:rsidR="00B81E38" w:rsidRDefault="00E82967">
            <w:pPr>
              <w:jc w:val="center"/>
              <w:rPr>
                <w:rFonts w:ascii="Arial" w:eastAsia="Arial" w:hAnsi="Arial" w:cs="Arial"/>
                <w:b/>
                <w:sz w:val="20"/>
                <w:szCs w:val="20"/>
              </w:rPr>
            </w:pPr>
            <w:r>
              <w:rPr>
                <w:rFonts w:ascii="Arial" w:eastAsia="Arial" w:hAnsi="Arial" w:cs="Arial"/>
                <w:b/>
                <w:sz w:val="20"/>
                <w:szCs w:val="20"/>
              </w:rPr>
              <w:t>PERIODO DE EXERCICIO</w:t>
            </w:r>
          </w:p>
        </w:tc>
        <w:tc>
          <w:tcPr>
            <w:tcW w:w="2490" w:type="dxa"/>
            <w:tcBorders>
              <w:top w:val="single" w:sz="4" w:space="0" w:color="000000"/>
              <w:left w:val="single" w:sz="4" w:space="0" w:color="000000"/>
              <w:bottom w:val="single" w:sz="4" w:space="0" w:color="000000"/>
            </w:tcBorders>
            <w:shd w:val="clear" w:color="auto" w:fill="BFBFBF"/>
            <w:vAlign w:val="center"/>
          </w:tcPr>
          <w:p w:rsidR="00B81E38" w:rsidRDefault="00E82967">
            <w:pPr>
              <w:jc w:val="center"/>
              <w:rPr>
                <w:rFonts w:ascii="Arial" w:eastAsia="Arial" w:hAnsi="Arial" w:cs="Arial"/>
                <w:b/>
                <w:sz w:val="20"/>
                <w:szCs w:val="20"/>
              </w:rPr>
            </w:pPr>
            <w:r>
              <w:rPr>
                <w:rFonts w:ascii="Arial" w:eastAsia="Arial" w:hAnsi="Arial" w:cs="Arial"/>
                <w:b/>
                <w:sz w:val="20"/>
                <w:szCs w:val="20"/>
              </w:rPr>
              <w:t>CONDUTA</w:t>
            </w:r>
          </w:p>
        </w:tc>
        <w:tc>
          <w:tcPr>
            <w:tcW w:w="2925" w:type="dxa"/>
            <w:tcBorders>
              <w:top w:val="single" w:sz="4" w:space="0" w:color="000000"/>
              <w:left w:val="single" w:sz="4" w:space="0" w:color="000000"/>
              <w:bottom w:val="single" w:sz="4" w:space="0" w:color="000000"/>
            </w:tcBorders>
            <w:shd w:val="clear" w:color="auto" w:fill="BFBFBF"/>
            <w:vAlign w:val="center"/>
          </w:tcPr>
          <w:p w:rsidR="00B81E38" w:rsidRDefault="00E82967">
            <w:pPr>
              <w:jc w:val="center"/>
              <w:rPr>
                <w:rFonts w:ascii="Arial" w:eastAsia="Arial" w:hAnsi="Arial" w:cs="Arial"/>
                <w:b/>
                <w:sz w:val="20"/>
                <w:szCs w:val="20"/>
              </w:rPr>
            </w:pPr>
            <w:r>
              <w:rPr>
                <w:rFonts w:ascii="Arial" w:eastAsia="Arial" w:hAnsi="Arial" w:cs="Arial"/>
                <w:b/>
                <w:sz w:val="20"/>
                <w:szCs w:val="20"/>
              </w:rPr>
              <w:t>NEXO DE CAUSALIDADE</w:t>
            </w:r>
          </w:p>
          <w:p w:rsidR="00B81E38" w:rsidRDefault="00E82967">
            <w:pPr>
              <w:jc w:val="center"/>
              <w:rPr>
                <w:rFonts w:ascii="Arial" w:eastAsia="Arial" w:hAnsi="Arial" w:cs="Arial"/>
                <w:b/>
                <w:sz w:val="20"/>
                <w:szCs w:val="20"/>
              </w:rPr>
            </w:pPr>
            <w:r>
              <w:rPr>
                <w:rFonts w:ascii="Arial" w:eastAsia="Arial" w:hAnsi="Arial" w:cs="Arial"/>
                <w:b/>
                <w:sz w:val="20"/>
                <w:szCs w:val="20"/>
              </w:rPr>
              <w:t>(entre a conduta e o resultado ilícito)</w:t>
            </w:r>
          </w:p>
        </w:tc>
        <w:tc>
          <w:tcPr>
            <w:tcW w:w="219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81E38" w:rsidRDefault="00E82967">
            <w:pPr>
              <w:jc w:val="center"/>
              <w:rPr>
                <w:rFonts w:ascii="Arial" w:eastAsia="Arial" w:hAnsi="Arial" w:cs="Arial"/>
                <w:b/>
                <w:sz w:val="20"/>
                <w:szCs w:val="20"/>
              </w:rPr>
            </w:pPr>
            <w:r>
              <w:rPr>
                <w:rFonts w:ascii="Arial" w:eastAsia="Arial" w:hAnsi="Arial" w:cs="Arial"/>
                <w:b/>
                <w:sz w:val="20"/>
                <w:szCs w:val="20"/>
              </w:rPr>
              <w:t>CULPABILIDADE</w:t>
            </w:r>
          </w:p>
        </w:tc>
        <w:tc>
          <w:tcPr>
            <w:tcW w:w="212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81E38" w:rsidRDefault="00E82967">
            <w:pPr>
              <w:jc w:val="center"/>
              <w:rPr>
                <w:rFonts w:ascii="Arial" w:eastAsia="Arial" w:hAnsi="Arial" w:cs="Arial"/>
                <w:b/>
                <w:sz w:val="20"/>
                <w:szCs w:val="20"/>
              </w:rPr>
            </w:pPr>
            <w:r>
              <w:rPr>
                <w:rFonts w:ascii="Arial" w:eastAsia="Arial" w:hAnsi="Arial" w:cs="Arial"/>
                <w:b/>
                <w:sz w:val="20"/>
                <w:szCs w:val="20"/>
              </w:rPr>
              <w:t xml:space="preserve">SANÇÕES </w:t>
            </w:r>
          </w:p>
          <w:p w:rsidR="00B81E38" w:rsidRDefault="00E82967">
            <w:pPr>
              <w:jc w:val="center"/>
              <w:rPr>
                <w:rFonts w:ascii="Arial" w:eastAsia="Arial" w:hAnsi="Arial" w:cs="Arial"/>
                <w:b/>
                <w:sz w:val="20"/>
                <w:szCs w:val="20"/>
              </w:rPr>
            </w:pPr>
            <w:r>
              <w:rPr>
                <w:rFonts w:ascii="Arial" w:eastAsia="Arial" w:hAnsi="Arial" w:cs="Arial"/>
                <w:b/>
                <w:sz w:val="20"/>
                <w:szCs w:val="20"/>
              </w:rPr>
              <w:t xml:space="preserve">(SE CABÍVEIS) </w:t>
            </w:r>
          </w:p>
        </w:tc>
      </w:tr>
      <w:tr w:rsidR="00B81E38">
        <w:tc>
          <w:tcPr>
            <w:tcW w:w="1635" w:type="dxa"/>
            <w:tcBorders>
              <w:top w:val="single" w:sz="4" w:space="0" w:color="000000"/>
              <w:left w:val="single" w:sz="4" w:space="0" w:color="000000"/>
              <w:bottom w:val="single" w:sz="4" w:space="0" w:color="000000"/>
            </w:tcBorders>
          </w:tcPr>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Detalhar somente os achados que se constituem em falhas ou irregularidades. (1)</w:t>
            </w:r>
          </w:p>
          <w:p w:rsidR="00B81E38" w:rsidRDefault="00B81E38">
            <w:pPr>
              <w:rPr>
                <w:rFonts w:ascii="Arial" w:eastAsia="Arial" w:hAnsi="Arial" w:cs="Arial"/>
                <w:color w:val="FF0000"/>
                <w:sz w:val="18"/>
                <w:szCs w:val="18"/>
              </w:rPr>
            </w:pPr>
          </w:p>
          <w:p w:rsidR="00B81E38" w:rsidRDefault="00B81E38">
            <w:pPr>
              <w:rPr>
                <w:rFonts w:ascii="Arial" w:eastAsia="Arial" w:hAnsi="Arial" w:cs="Arial"/>
                <w:color w:val="FF0000"/>
                <w:sz w:val="18"/>
                <w:szCs w:val="18"/>
              </w:rPr>
            </w:pPr>
          </w:p>
          <w:p w:rsidR="00B81E38" w:rsidRDefault="00B81E38">
            <w:pPr>
              <w:rPr>
                <w:rFonts w:ascii="Arial" w:eastAsia="Arial" w:hAnsi="Arial" w:cs="Arial"/>
                <w:color w:val="FF0000"/>
                <w:sz w:val="18"/>
                <w:szCs w:val="18"/>
              </w:rPr>
            </w:pPr>
          </w:p>
          <w:p w:rsidR="00B81E38" w:rsidRDefault="00B81E38">
            <w:pPr>
              <w:rPr>
                <w:rFonts w:ascii="Arial" w:eastAsia="Arial" w:hAnsi="Arial" w:cs="Arial"/>
                <w:color w:val="FF0000"/>
                <w:sz w:val="18"/>
                <w:szCs w:val="18"/>
              </w:rPr>
            </w:pPr>
          </w:p>
          <w:p w:rsidR="00B81E38" w:rsidRDefault="00B81E38">
            <w:pPr>
              <w:rPr>
                <w:rFonts w:ascii="Arial" w:eastAsia="Arial" w:hAnsi="Arial" w:cs="Arial"/>
                <w:color w:val="FF0000"/>
                <w:sz w:val="18"/>
                <w:szCs w:val="18"/>
              </w:rPr>
            </w:pPr>
          </w:p>
          <w:p w:rsidR="00B81E38" w:rsidRDefault="00B81E38">
            <w:pPr>
              <w:rPr>
                <w:rFonts w:ascii="Arial" w:eastAsia="Arial" w:hAnsi="Arial" w:cs="Arial"/>
                <w:color w:val="FF0000"/>
                <w:sz w:val="18"/>
                <w:szCs w:val="18"/>
              </w:rPr>
            </w:pPr>
          </w:p>
          <w:p w:rsidR="00B81E38" w:rsidRDefault="00B81E38">
            <w:pPr>
              <w:rPr>
                <w:rFonts w:ascii="Arial" w:eastAsia="Arial" w:hAnsi="Arial" w:cs="Arial"/>
                <w:color w:val="FF0000"/>
                <w:sz w:val="18"/>
                <w:szCs w:val="18"/>
              </w:rPr>
            </w:pPr>
          </w:p>
          <w:p w:rsidR="00B81E38" w:rsidRDefault="00B81E38">
            <w:pPr>
              <w:rPr>
                <w:rFonts w:ascii="Arial" w:eastAsia="Arial" w:hAnsi="Arial" w:cs="Arial"/>
                <w:color w:val="FF0000"/>
                <w:sz w:val="18"/>
                <w:szCs w:val="18"/>
              </w:rPr>
            </w:pPr>
          </w:p>
          <w:p w:rsidR="00B81E38" w:rsidRDefault="00B81E38">
            <w:pPr>
              <w:rPr>
                <w:rFonts w:ascii="Arial" w:eastAsia="Arial" w:hAnsi="Arial" w:cs="Arial"/>
                <w:color w:val="FF0000"/>
                <w:sz w:val="18"/>
                <w:szCs w:val="18"/>
              </w:rPr>
            </w:pPr>
          </w:p>
        </w:tc>
        <w:tc>
          <w:tcPr>
            <w:tcW w:w="1740" w:type="dxa"/>
            <w:tcBorders>
              <w:top w:val="single" w:sz="4" w:space="0" w:color="000000"/>
              <w:left w:val="single" w:sz="4" w:space="0" w:color="000000"/>
              <w:bottom w:val="single" w:sz="4" w:space="0" w:color="000000"/>
            </w:tcBorders>
          </w:tcPr>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 xml:space="preserve">Indicar, além do nome, o cargo e o CPF </w:t>
            </w:r>
            <w:proofErr w:type="gramStart"/>
            <w:r>
              <w:rPr>
                <w:rFonts w:ascii="Arial" w:eastAsia="Arial" w:hAnsi="Arial" w:cs="Arial"/>
                <w:color w:val="FF0000"/>
                <w:sz w:val="18"/>
                <w:szCs w:val="18"/>
              </w:rPr>
              <w:t>do responsável pessoa física</w:t>
            </w:r>
            <w:proofErr w:type="gramEnd"/>
            <w:r>
              <w:rPr>
                <w:rFonts w:ascii="Arial" w:eastAsia="Arial" w:hAnsi="Arial" w:cs="Arial"/>
                <w:color w:val="FF0000"/>
                <w:sz w:val="18"/>
                <w:szCs w:val="18"/>
              </w:rPr>
              <w:t>. (2)</w:t>
            </w:r>
          </w:p>
        </w:tc>
        <w:tc>
          <w:tcPr>
            <w:tcW w:w="1500" w:type="dxa"/>
            <w:tcBorders>
              <w:top w:val="single" w:sz="4" w:space="0" w:color="000000"/>
              <w:left w:val="single" w:sz="4" w:space="0" w:color="000000"/>
              <w:bottom w:val="single" w:sz="4" w:space="0" w:color="000000"/>
            </w:tcBorders>
          </w:tcPr>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Indicar sempre e para todos os responsáveis o período de exercício. (3)</w:t>
            </w:r>
          </w:p>
          <w:p w:rsidR="00B81E38" w:rsidRDefault="00B81E38">
            <w:pPr>
              <w:jc w:val="both"/>
              <w:rPr>
                <w:rFonts w:ascii="Arial" w:eastAsia="Arial" w:hAnsi="Arial" w:cs="Arial"/>
                <w:color w:val="FF0000"/>
                <w:sz w:val="18"/>
                <w:szCs w:val="18"/>
              </w:rPr>
            </w:pPr>
          </w:p>
          <w:p w:rsidR="00B81E38" w:rsidRDefault="00B81E38">
            <w:pPr>
              <w:jc w:val="both"/>
              <w:rPr>
                <w:rFonts w:ascii="Arial" w:eastAsia="Arial" w:hAnsi="Arial" w:cs="Arial"/>
                <w:color w:val="FF0000"/>
                <w:sz w:val="18"/>
                <w:szCs w:val="18"/>
              </w:rPr>
            </w:pPr>
          </w:p>
          <w:p w:rsidR="00B81E38" w:rsidRDefault="00B81E38">
            <w:pPr>
              <w:jc w:val="both"/>
              <w:rPr>
                <w:rFonts w:ascii="Arial" w:eastAsia="Arial" w:hAnsi="Arial" w:cs="Arial"/>
                <w:color w:val="FF0000"/>
                <w:sz w:val="18"/>
                <w:szCs w:val="18"/>
              </w:rPr>
            </w:pPr>
          </w:p>
          <w:p w:rsidR="00B81E38" w:rsidRDefault="00B81E38">
            <w:pPr>
              <w:jc w:val="both"/>
              <w:rPr>
                <w:rFonts w:ascii="Arial" w:eastAsia="Arial" w:hAnsi="Arial" w:cs="Arial"/>
                <w:color w:val="FF0000"/>
                <w:sz w:val="18"/>
                <w:szCs w:val="18"/>
              </w:rPr>
            </w:pPr>
          </w:p>
          <w:p w:rsidR="00B81E38" w:rsidRDefault="00B81E38">
            <w:pPr>
              <w:jc w:val="both"/>
              <w:rPr>
                <w:rFonts w:ascii="Arial" w:eastAsia="Arial" w:hAnsi="Arial" w:cs="Arial"/>
                <w:color w:val="FF0000"/>
                <w:sz w:val="18"/>
                <w:szCs w:val="18"/>
              </w:rPr>
            </w:pPr>
          </w:p>
          <w:p w:rsidR="00B81E38" w:rsidRDefault="00B81E38">
            <w:pPr>
              <w:jc w:val="both"/>
              <w:rPr>
                <w:rFonts w:ascii="Arial" w:eastAsia="Arial" w:hAnsi="Arial" w:cs="Arial"/>
                <w:color w:val="FF0000"/>
                <w:sz w:val="18"/>
                <w:szCs w:val="18"/>
              </w:rPr>
            </w:pPr>
          </w:p>
        </w:tc>
        <w:tc>
          <w:tcPr>
            <w:tcW w:w="2490" w:type="dxa"/>
            <w:tcBorders>
              <w:top w:val="single" w:sz="4" w:space="0" w:color="000000"/>
              <w:left w:val="single" w:sz="4" w:space="0" w:color="000000"/>
              <w:bottom w:val="single" w:sz="4" w:space="0" w:color="000000"/>
            </w:tcBorders>
          </w:tcPr>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 xml:space="preserve">Identificar a ação ou a omissão, culposa ou dolosa praticada pelo responsável. </w:t>
            </w:r>
          </w:p>
          <w:p w:rsidR="00B81E38" w:rsidRDefault="00B81E38">
            <w:pPr>
              <w:rPr>
                <w:rFonts w:ascii="Arial" w:eastAsia="Arial" w:hAnsi="Arial" w:cs="Arial"/>
                <w:b/>
                <w:color w:val="FF0000"/>
                <w:sz w:val="18"/>
                <w:szCs w:val="18"/>
              </w:rPr>
            </w:pPr>
          </w:p>
          <w:p w:rsidR="00B81E38" w:rsidRDefault="00E82967">
            <w:pPr>
              <w:rPr>
                <w:rFonts w:ascii="Arial" w:eastAsia="Arial" w:hAnsi="Arial" w:cs="Arial"/>
                <w:color w:val="FF0000"/>
                <w:sz w:val="18"/>
                <w:szCs w:val="18"/>
              </w:rPr>
            </w:pPr>
            <w:r>
              <w:rPr>
                <w:rFonts w:ascii="Arial" w:eastAsia="Arial" w:hAnsi="Arial" w:cs="Arial"/>
                <w:color w:val="FF0000"/>
                <w:sz w:val="18"/>
                <w:szCs w:val="18"/>
              </w:rPr>
              <w:t>Nos casos de ação, utilizar verbos no infinitivo, mencionar os documentos que comprovem a conduta adotada e indicar a conduta correta que deveria ter sido tomada.</w:t>
            </w:r>
          </w:p>
          <w:p w:rsidR="00B81E38" w:rsidRDefault="00B81E38">
            <w:pPr>
              <w:rPr>
                <w:rFonts w:ascii="Arial" w:eastAsia="Arial" w:hAnsi="Arial" w:cs="Arial"/>
                <w:b/>
                <w:color w:val="FF0000"/>
                <w:sz w:val="18"/>
                <w:szCs w:val="18"/>
              </w:rPr>
            </w:pPr>
          </w:p>
          <w:p w:rsidR="00B81E38" w:rsidRDefault="00E82967">
            <w:pPr>
              <w:rPr>
                <w:rFonts w:ascii="Arial" w:eastAsia="Arial" w:hAnsi="Arial" w:cs="Arial"/>
                <w:color w:val="FF0000"/>
                <w:sz w:val="18"/>
                <w:szCs w:val="18"/>
              </w:rPr>
            </w:pPr>
            <w:r>
              <w:rPr>
                <w:rFonts w:ascii="Arial" w:eastAsia="Arial" w:hAnsi="Arial" w:cs="Arial"/>
                <w:color w:val="FF0000"/>
                <w:sz w:val="18"/>
                <w:szCs w:val="18"/>
              </w:rPr>
              <w:t>Nos casos de omissão, indicar o que deveria ter sido feito. (4)</w:t>
            </w:r>
          </w:p>
          <w:p w:rsidR="00B81E38" w:rsidRDefault="00B81E38">
            <w:pPr>
              <w:rPr>
                <w:rFonts w:ascii="Arial" w:eastAsia="Arial" w:hAnsi="Arial" w:cs="Arial"/>
                <w:color w:val="FF0000"/>
                <w:sz w:val="18"/>
                <w:szCs w:val="18"/>
              </w:rPr>
            </w:pPr>
          </w:p>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 xml:space="preserve">Ao descrever a conduta deve se destacar quaisquer medidas tomadas por pessoas responsáveis, </w:t>
            </w:r>
            <w:r>
              <w:rPr>
                <w:rFonts w:ascii="Arial" w:eastAsia="Arial" w:hAnsi="Arial" w:cs="Arial"/>
                <w:color w:val="FF0000"/>
                <w:sz w:val="18"/>
                <w:szCs w:val="18"/>
              </w:rPr>
              <w:lastRenderedPageBreak/>
              <w:t>durante a auditoria, para reparar a perda, o mau uso ou desperdício gerados;</w:t>
            </w:r>
          </w:p>
          <w:p w:rsidR="00B81E38" w:rsidRDefault="00B81E38">
            <w:pPr>
              <w:jc w:val="both"/>
              <w:rPr>
                <w:rFonts w:ascii="Arial" w:eastAsia="Arial" w:hAnsi="Arial" w:cs="Arial"/>
                <w:color w:val="FF0000"/>
                <w:sz w:val="18"/>
                <w:szCs w:val="18"/>
              </w:rPr>
            </w:pPr>
          </w:p>
        </w:tc>
        <w:tc>
          <w:tcPr>
            <w:tcW w:w="2925" w:type="dxa"/>
            <w:tcBorders>
              <w:top w:val="single" w:sz="4" w:space="0" w:color="000000"/>
              <w:left w:val="single" w:sz="4" w:space="0" w:color="000000"/>
              <w:bottom w:val="single" w:sz="4" w:space="0" w:color="000000"/>
            </w:tcBorders>
          </w:tcPr>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lastRenderedPageBreak/>
              <w:t xml:space="preserve">Evidenciar a relação </w:t>
            </w:r>
            <w:r>
              <w:rPr>
                <w:rFonts w:ascii="Arial" w:eastAsia="Arial" w:hAnsi="Arial" w:cs="Arial"/>
                <w:color w:val="FF0000"/>
                <w:sz w:val="18"/>
                <w:szCs w:val="18"/>
              </w:rPr>
              <w:t>de causa e efeito entre a conduta do responsável e o resultado ilícito. (5)</w:t>
            </w:r>
          </w:p>
          <w:p w:rsidR="00B81E38" w:rsidRDefault="00B81E38">
            <w:pPr>
              <w:jc w:val="both"/>
              <w:rPr>
                <w:rFonts w:ascii="Arial" w:eastAsia="Arial" w:hAnsi="Arial" w:cs="Arial"/>
                <w:color w:val="FF0000"/>
                <w:sz w:val="18"/>
                <w:szCs w:val="18"/>
              </w:rPr>
            </w:pPr>
          </w:p>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(CONDUTA)...resultou… (RESULTADO ILÍCITO)</w:t>
            </w:r>
          </w:p>
          <w:p w:rsidR="00B81E38" w:rsidRDefault="00B81E38">
            <w:pPr>
              <w:jc w:val="both"/>
              <w:rPr>
                <w:rFonts w:ascii="Arial" w:eastAsia="Arial" w:hAnsi="Arial" w:cs="Arial"/>
                <w:color w:val="FF0000"/>
                <w:sz w:val="18"/>
                <w:szCs w:val="18"/>
              </w:rPr>
            </w:pPr>
          </w:p>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(CONDUTA)...propiciou... (RESULTADO ILÍCITO)</w:t>
            </w:r>
          </w:p>
          <w:p w:rsidR="00B81E38" w:rsidRDefault="00B81E38">
            <w:pPr>
              <w:jc w:val="both"/>
              <w:rPr>
                <w:rFonts w:ascii="Arial" w:eastAsia="Arial" w:hAnsi="Arial" w:cs="Arial"/>
                <w:color w:val="FF0000"/>
                <w:sz w:val="18"/>
                <w:szCs w:val="18"/>
              </w:rPr>
            </w:pPr>
          </w:p>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(CONDUTA)...</w:t>
            </w:r>
            <w:proofErr w:type="gramStart"/>
            <w:r>
              <w:rPr>
                <w:rFonts w:ascii="Arial" w:eastAsia="Arial" w:hAnsi="Arial" w:cs="Arial"/>
                <w:color w:val="FF0000"/>
                <w:sz w:val="18"/>
                <w:szCs w:val="18"/>
              </w:rPr>
              <w:t>possibilitou..</w:t>
            </w:r>
            <w:proofErr w:type="gramEnd"/>
            <w:r>
              <w:rPr>
                <w:rFonts w:ascii="Arial" w:eastAsia="Arial" w:hAnsi="Arial" w:cs="Arial"/>
                <w:color w:val="FF0000"/>
                <w:sz w:val="18"/>
                <w:szCs w:val="18"/>
              </w:rPr>
              <w:t xml:space="preserve">(RESULTADO ILÍCITO) </w:t>
            </w:r>
          </w:p>
          <w:p w:rsidR="00B81E38" w:rsidRDefault="00B81E38">
            <w:pPr>
              <w:jc w:val="both"/>
              <w:rPr>
                <w:rFonts w:ascii="Arial" w:eastAsia="Arial" w:hAnsi="Arial" w:cs="Arial"/>
                <w:color w:val="FF0000"/>
                <w:sz w:val="18"/>
                <w:szCs w:val="18"/>
              </w:rPr>
            </w:pPr>
          </w:p>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 xml:space="preserve">Sempre que for o caso, deve ser destacado </w:t>
            </w:r>
            <w:r>
              <w:rPr>
                <w:rFonts w:ascii="Arial" w:eastAsia="Arial" w:hAnsi="Arial" w:cs="Arial"/>
                <w:color w:val="FF0000"/>
                <w:sz w:val="18"/>
                <w:szCs w:val="18"/>
              </w:rPr>
              <w:t>no resultado do ilícito o valor da perda, do mau uso ou do desperdício gerado e o montante a ser ressarcido devido à responsabilidade pessoal;</w:t>
            </w:r>
          </w:p>
          <w:p w:rsidR="00B81E38" w:rsidRDefault="00B81E38">
            <w:pPr>
              <w:jc w:val="both"/>
              <w:rPr>
                <w:rFonts w:ascii="Arial" w:eastAsia="Arial" w:hAnsi="Arial" w:cs="Arial"/>
                <w:color w:val="FF0000"/>
                <w:sz w:val="18"/>
                <w:szCs w:val="18"/>
              </w:rPr>
            </w:pPr>
          </w:p>
        </w:tc>
        <w:tc>
          <w:tcPr>
            <w:tcW w:w="2190" w:type="dxa"/>
            <w:tcBorders>
              <w:top w:val="single" w:sz="4" w:space="0" w:color="000000"/>
              <w:left w:val="single" w:sz="4" w:space="0" w:color="000000"/>
              <w:bottom w:val="single" w:sz="4" w:space="0" w:color="000000"/>
              <w:right w:val="single" w:sz="4" w:space="0" w:color="000000"/>
            </w:tcBorders>
          </w:tcPr>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Avaliar a reprovabilidade da conduta, trazendo resposta aos questionamentos propostos nas instruções de preenchi</w:t>
            </w:r>
            <w:r>
              <w:rPr>
                <w:rFonts w:ascii="Arial" w:eastAsia="Arial" w:hAnsi="Arial" w:cs="Arial"/>
                <w:color w:val="FF0000"/>
                <w:sz w:val="18"/>
                <w:szCs w:val="18"/>
              </w:rPr>
              <w:t>mento da matriz. (6)</w:t>
            </w:r>
          </w:p>
          <w:p w:rsidR="00B81E38" w:rsidRDefault="00B81E38">
            <w:pPr>
              <w:jc w:val="both"/>
              <w:rPr>
                <w:rFonts w:ascii="Arial" w:eastAsia="Arial" w:hAnsi="Arial" w:cs="Arial"/>
                <w:color w:val="FF0000"/>
                <w:sz w:val="18"/>
                <w:szCs w:val="18"/>
              </w:rPr>
            </w:pPr>
          </w:p>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Devem ser destacados também os argumentos da administração sobre os atos de conformidade ou ilícitos;</w:t>
            </w:r>
          </w:p>
        </w:tc>
        <w:tc>
          <w:tcPr>
            <w:tcW w:w="2120" w:type="dxa"/>
            <w:tcBorders>
              <w:top w:val="single" w:sz="4" w:space="0" w:color="000000"/>
              <w:left w:val="single" w:sz="4" w:space="0" w:color="000000"/>
              <w:bottom w:val="single" w:sz="4" w:space="0" w:color="000000"/>
              <w:right w:val="single" w:sz="4" w:space="0" w:color="000000"/>
            </w:tcBorders>
          </w:tcPr>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Descrever as sugestões de sanções e seus respectivos fundamentos legais.</w:t>
            </w:r>
          </w:p>
          <w:p w:rsidR="00B81E38" w:rsidRDefault="00B81E38">
            <w:pPr>
              <w:jc w:val="both"/>
              <w:rPr>
                <w:rFonts w:ascii="Arial" w:eastAsia="Arial" w:hAnsi="Arial" w:cs="Arial"/>
                <w:color w:val="FF0000"/>
                <w:sz w:val="18"/>
                <w:szCs w:val="18"/>
              </w:rPr>
            </w:pPr>
          </w:p>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Na fase de avaliação de responsabilidades, caso a equipe avalie a conduta como de reduzido grau de reprovabilidade ou de contribuição para o resultado, ou ainda que o resultado observado seja de baixo potencial de dano, poderá, no exercício de sua avaliaçã</w:t>
            </w:r>
            <w:r>
              <w:rPr>
                <w:rFonts w:ascii="Arial" w:eastAsia="Arial" w:hAnsi="Arial" w:cs="Arial"/>
                <w:color w:val="FF0000"/>
                <w:sz w:val="18"/>
                <w:szCs w:val="18"/>
              </w:rPr>
              <w:t xml:space="preserve">o independente, se manifestar pelo afastamento das </w:t>
            </w:r>
            <w:r>
              <w:rPr>
                <w:rFonts w:ascii="Arial" w:eastAsia="Arial" w:hAnsi="Arial" w:cs="Arial"/>
                <w:color w:val="FF0000"/>
                <w:sz w:val="18"/>
                <w:szCs w:val="18"/>
              </w:rPr>
              <w:lastRenderedPageBreak/>
              <w:t xml:space="preserve">penalidades cabíveis ou sua aplicação nos mínimos legais. </w:t>
            </w:r>
          </w:p>
          <w:p w:rsidR="00B81E38" w:rsidRDefault="00B81E38">
            <w:pPr>
              <w:jc w:val="both"/>
              <w:rPr>
                <w:rFonts w:ascii="Arial" w:eastAsia="Arial" w:hAnsi="Arial" w:cs="Arial"/>
                <w:color w:val="FF0000"/>
                <w:sz w:val="18"/>
                <w:szCs w:val="18"/>
              </w:rPr>
            </w:pPr>
          </w:p>
          <w:p w:rsidR="00B81E38" w:rsidRDefault="00E82967">
            <w:pPr>
              <w:jc w:val="both"/>
              <w:rPr>
                <w:rFonts w:ascii="Arial" w:eastAsia="Arial" w:hAnsi="Arial" w:cs="Arial"/>
                <w:color w:val="FF0000"/>
                <w:sz w:val="18"/>
                <w:szCs w:val="18"/>
              </w:rPr>
            </w:pPr>
            <w:r>
              <w:rPr>
                <w:rFonts w:ascii="Arial" w:eastAsia="Arial" w:hAnsi="Arial" w:cs="Arial"/>
                <w:color w:val="FF0000"/>
                <w:sz w:val="18"/>
                <w:szCs w:val="18"/>
              </w:rPr>
              <w:t>Caso a equipe de auditoria avalie que o responsável está amparado por alguma excludente de ilicitude ou de culpabilidade, deve ser indicada qual,</w:t>
            </w:r>
            <w:r>
              <w:rPr>
                <w:rFonts w:ascii="Arial" w:eastAsia="Arial" w:hAnsi="Arial" w:cs="Arial"/>
                <w:color w:val="FF0000"/>
                <w:sz w:val="18"/>
                <w:szCs w:val="18"/>
              </w:rPr>
              <w:t xml:space="preserve"> seguida do registro pela inaplicabilidade de sanção.</w:t>
            </w:r>
          </w:p>
        </w:tc>
      </w:tr>
    </w:tbl>
    <w:p w:rsidR="00B81E38" w:rsidRDefault="00B81E38">
      <w:pPr>
        <w:jc w:val="both"/>
        <w:rPr>
          <w:rFonts w:ascii="Rasa" w:eastAsia="Rasa" w:hAnsi="Rasa" w:cs="Rasa"/>
          <w:sz w:val="20"/>
          <w:szCs w:val="20"/>
        </w:rPr>
      </w:pPr>
    </w:p>
    <w:tbl>
      <w:tblPr>
        <w:tblStyle w:val="a2"/>
        <w:tblW w:w="1459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5"/>
        <w:gridCol w:w="12330"/>
      </w:tblGrid>
      <w:tr w:rsidR="00B81E38">
        <w:tc>
          <w:tcPr>
            <w:tcW w:w="2265" w:type="dxa"/>
            <w:shd w:val="clear" w:color="auto" w:fill="CCCCCC"/>
          </w:tcPr>
          <w:p w:rsidR="00B81E38" w:rsidRDefault="00E82967">
            <w:pPr>
              <w:spacing w:before="57" w:after="57"/>
              <w:rPr>
                <w:rFonts w:ascii="Arial" w:eastAsia="Arial" w:hAnsi="Arial" w:cs="Arial"/>
                <w:sz w:val="20"/>
                <w:szCs w:val="20"/>
              </w:rPr>
            </w:pPr>
            <w:r>
              <w:rPr>
                <w:rFonts w:ascii="Arial" w:eastAsia="Arial" w:hAnsi="Arial" w:cs="Arial"/>
                <w:sz w:val="20"/>
                <w:szCs w:val="20"/>
              </w:rPr>
              <w:t>COORDENADOR</w:t>
            </w:r>
          </w:p>
        </w:tc>
        <w:tc>
          <w:tcPr>
            <w:tcW w:w="12330" w:type="dxa"/>
            <w:shd w:val="clear" w:color="auto" w:fill="auto"/>
          </w:tcPr>
          <w:p w:rsidR="00B81E38" w:rsidRDefault="00B81E38">
            <w:pPr>
              <w:spacing w:before="57" w:after="57"/>
              <w:jc w:val="both"/>
              <w:rPr>
                <w:rFonts w:ascii="Arial" w:eastAsia="Arial" w:hAnsi="Arial" w:cs="Arial"/>
                <w:sz w:val="20"/>
                <w:szCs w:val="20"/>
              </w:rPr>
            </w:pPr>
          </w:p>
        </w:tc>
      </w:tr>
      <w:tr w:rsidR="00B81E38">
        <w:tc>
          <w:tcPr>
            <w:tcW w:w="14595" w:type="dxa"/>
            <w:gridSpan w:val="2"/>
            <w:shd w:val="clear" w:color="auto" w:fill="auto"/>
          </w:tcPr>
          <w:p w:rsidR="00B81E38" w:rsidRDefault="00E82967">
            <w:pPr>
              <w:spacing w:before="57" w:after="57"/>
              <w:jc w:val="both"/>
              <w:rPr>
                <w:rFonts w:ascii="Arial" w:eastAsia="Arial" w:hAnsi="Arial" w:cs="Arial"/>
                <w:sz w:val="20"/>
                <w:szCs w:val="20"/>
              </w:rPr>
            </w:pPr>
            <w:r>
              <w:rPr>
                <w:rFonts w:ascii="Arial" w:eastAsia="Arial" w:hAnsi="Arial" w:cs="Arial"/>
                <w:sz w:val="20"/>
                <w:szCs w:val="20"/>
              </w:rPr>
              <w:t>EQUIPE:</w:t>
            </w:r>
          </w:p>
          <w:p w:rsidR="00B81E38" w:rsidRDefault="00E82967">
            <w:pPr>
              <w:jc w:val="both"/>
              <w:rPr>
                <w:rFonts w:ascii="Arial" w:eastAsia="Arial" w:hAnsi="Arial" w:cs="Arial"/>
                <w:sz w:val="20"/>
                <w:szCs w:val="20"/>
              </w:rPr>
            </w:pPr>
            <w:r>
              <w:rPr>
                <w:rFonts w:ascii="Arial" w:eastAsia="Arial" w:hAnsi="Arial" w:cs="Arial"/>
                <w:sz w:val="20"/>
                <w:szCs w:val="20"/>
              </w:rPr>
              <w:t>XXXX</w:t>
            </w:r>
          </w:p>
          <w:p w:rsidR="00B81E38" w:rsidRDefault="00E82967">
            <w:pPr>
              <w:jc w:val="both"/>
              <w:rPr>
                <w:rFonts w:ascii="Arial" w:eastAsia="Arial" w:hAnsi="Arial" w:cs="Arial"/>
                <w:sz w:val="20"/>
                <w:szCs w:val="20"/>
              </w:rPr>
            </w:pPr>
            <w:r>
              <w:rPr>
                <w:rFonts w:ascii="Arial" w:eastAsia="Arial" w:hAnsi="Arial" w:cs="Arial"/>
                <w:sz w:val="20"/>
                <w:szCs w:val="20"/>
              </w:rPr>
              <w:t>YYYY</w:t>
            </w:r>
          </w:p>
          <w:p w:rsidR="00B81E38" w:rsidRDefault="00E82967">
            <w:pPr>
              <w:jc w:val="both"/>
              <w:rPr>
                <w:rFonts w:ascii="Arial" w:eastAsia="Arial" w:hAnsi="Arial" w:cs="Arial"/>
                <w:sz w:val="20"/>
                <w:szCs w:val="20"/>
              </w:rPr>
            </w:pPr>
            <w:r>
              <w:rPr>
                <w:rFonts w:ascii="Arial" w:eastAsia="Arial" w:hAnsi="Arial" w:cs="Arial"/>
                <w:sz w:val="20"/>
                <w:szCs w:val="20"/>
              </w:rPr>
              <w:t>ZZZZ</w:t>
            </w:r>
          </w:p>
        </w:tc>
      </w:tr>
    </w:tbl>
    <w:p w:rsidR="00B81E38" w:rsidRDefault="00E82967">
      <w:pPr>
        <w:jc w:val="both"/>
        <w:rPr>
          <w:rFonts w:ascii="Arial" w:eastAsia="Arial" w:hAnsi="Arial" w:cs="Arial"/>
          <w:b/>
          <w:color w:val="1C4587"/>
          <w:sz w:val="20"/>
          <w:szCs w:val="20"/>
        </w:rPr>
        <w:sectPr w:rsidR="00B81E38">
          <w:headerReference w:type="default" r:id="rId8"/>
          <w:footerReference w:type="default" r:id="rId9"/>
          <w:pgSz w:w="16837" w:h="11905" w:orient="landscape"/>
          <w:pgMar w:top="1701" w:right="1134" w:bottom="1134" w:left="1701" w:header="709" w:footer="709" w:gutter="0"/>
          <w:pgNumType w:start="1"/>
          <w:cols w:space="720"/>
        </w:sectPr>
      </w:pPr>
      <w:r>
        <w:br w:type="page"/>
      </w:r>
    </w:p>
    <w:p w:rsidR="00B81E38" w:rsidRDefault="00E82967">
      <w:pPr>
        <w:tabs>
          <w:tab w:val="center" w:pos="4252"/>
          <w:tab w:val="right" w:pos="8504"/>
        </w:tabs>
        <w:rPr>
          <w:rFonts w:ascii="Arial" w:eastAsia="Arial" w:hAnsi="Arial" w:cs="Arial"/>
          <w:b/>
          <w:color w:val="1C4587"/>
          <w:sz w:val="20"/>
          <w:szCs w:val="20"/>
        </w:rPr>
      </w:pPr>
      <w:r>
        <w:rPr>
          <w:rFonts w:ascii="Arial" w:eastAsia="Arial" w:hAnsi="Arial" w:cs="Arial"/>
          <w:b/>
          <w:color w:val="1C4587"/>
          <w:sz w:val="20"/>
          <w:szCs w:val="20"/>
        </w:rPr>
        <w:lastRenderedPageBreak/>
        <w:t>Orientações para preenchimento da Matriz de Responsabilização</w:t>
      </w:r>
    </w:p>
    <w:p w:rsidR="00B81E38" w:rsidRDefault="00B81E38">
      <w:pPr>
        <w:tabs>
          <w:tab w:val="center" w:pos="4252"/>
          <w:tab w:val="right" w:pos="8504"/>
        </w:tabs>
        <w:jc w:val="center"/>
        <w:rPr>
          <w:rFonts w:ascii="Arial" w:eastAsia="Arial" w:hAnsi="Arial" w:cs="Arial"/>
          <w:b/>
          <w:sz w:val="22"/>
          <w:szCs w:val="22"/>
        </w:rPr>
      </w:pPr>
    </w:p>
    <w:tbl>
      <w:tblPr>
        <w:tblStyle w:val="a3"/>
        <w:tblW w:w="94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6"/>
        <w:gridCol w:w="7581"/>
      </w:tblGrid>
      <w:tr w:rsidR="00B81E38">
        <w:trPr>
          <w:trHeight w:val="725"/>
        </w:trPr>
        <w:tc>
          <w:tcPr>
            <w:tcW w:w="1826" w:type="dxa"/>
            <w:tcBorders>
              <w:top w:val="single" w:sz="8" w:space="0" w:color="6D9EEB"/>
              <w:left w:val="single" w:sz="8" w:space="0" w:color="6D9EEB"/>
              <w:bottom w:val="single" w:sz="12" w:space="0" w:color="93C47D"/>
              <w:right w:val="single" w:sz="8" w:space="0" w:color="93C47D"/>
            </w:tcBorders>
            <w:shd w:val="clear" w:color="auto" w:fill="D9D9D9"/>
            <w:tcMar>
              <w:top w:w="0" w:type="dxa"/>
              <w:left w:w="115" w:type="dxa"/>
              <w:bottom w:w="0" w:type="dxa"/>
              <w:right w:w="115" w:type="dxa"/>
            </w:tcMar>
          </w:tcPr>
          <w:p w:rsidR="00B81E38" w:rsidRDefault="00E82967">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Objetivo do modelo do papel de trabalho</w:t>
            </w:r>
          </w:p>
        </w:tc>
        <w:tc>
          <w:tcPr>
            <w:tcW w:w="7581" w:type="dxa"/>
            <w:tcBorders>
              <w:top w:val="single" w:sz="8" w:space="0" w:color="6D9EEB"/>
              <w:left w:val="single" w:sz="8" w:space="0" w:color="93C47D"/>
              <w:bottom w:val="single" w:sz="12" w:space="0" w:color="93C47D"/>
              <w:right w:val="single" w:sz="8" w:space="0" w:color="6D9EEB"/>
            </w:tcBorders>
            <w:tcMar>
              <w:top w:w="0" w:type="dxa"/>
              <w:left w:w="115" w:type="dxa"/>
              <w:bottom w:w="0" w:type="dxa"/>
              <w:right w:w="115" w:type="dxa"/>
            </w:tcMar>
          </w:tcPr>
          <w:p w:rsidR="00B81E38" w:rsidRDefault="00E82967">
            <w:pPr>
              <w:tabs>
                <w:tab w:val="center" w:pos="4252"/>
                <w:tab w:val="right" w:pos="8504"/>
              </w:tabs>
              <w:spacing w:before="58"/>
              <w:jc w:val="both"/>
              <w:rPr>
                <w:rFonts w:ascii="Arial" w:eastAsia="Arial" w:hAnsi="Arial" w:cs="Arial"/>
                <w:sz w:val="18"/>
                <w:szCs w:val="18"/>
              </w:rPr>
            </w:pPr>
            <w:r>
              <w:rPr>
                <w:rFonts w:ascii="Arial" w:eastAsia="Arial" w:hAnsi="Arial" w:cs="Arial"/>
                <w:sz w:val="18"/>
                <w:szCs w:val="18"/>
              </w:rPr>
              <w:t xml:space="preserve">O objetivo deste papel de trabalho </w:t>
            </w:r>
            <w:r>
              <w:rPr>
                <w:rFonts w:ascii="Arial" w:eastAsia="Arial" w:hAnsi="Arial" w:cs="Arial"/>
                <w:sz w:val="18"/>
                <w:szCs w:val="18"/>
              </w:rPr>
              <w:t xml:space="preserve">é que o auditor (ou equipe de auditoria) registre sua conclusão quanto a existência de responsabilidade pessoal e subjetiva do agente que praticou conduta relacionada ao achado identificado. A Matriz de Responsabilização deve ser preenchida durante a fase </w:t>
            </w:r>
            <w:r>
              <w:rPr>
                <w:rFonts w:ascii="Arial" w:eastAsia="Arial" w:hAnsi="Arial" w:cs="Arial"/>
                <w:sz w:val="18"/>
                <w:szCs w:val="18"/>
              </w:rPr>
              <w:t>de execução da auditoria, posterior ao registro dos achados.</w:t>
            </w:r>
          </w:p>
        </w:tc>
      </w:tr>
      <w:tr w:rsidR="00B81E38">
        <w:trPr>
          <w:trHeight w:val="734"/>
        </w:trPr>
        <w:tc>
          <w:tcPr>
            <w:tcW w:w="1826" w:type="dxa"/>
            <w:tcBorders>
              <w:top w:val="single" w:sz="12" w:space="0" w:color="93C47D"/>
              <w:left w:val="single" w:sz="8" w:space="0" w:color="6D9EEB"/>
              <w:bottom w:val="single" w:sz="8" w:space="0" w:color="93C47D"/>
              <w:right w:val="single" w:sz="8" w:space="0" w:color="93C47D"/>
            </w:tcBorders>
            <w:shd w:val="clear" w:color="auto" w:fill="D9D9D9"/>
            <w:tcMar>
              <w:top w:w="0" w:type="dxa"/>
              <w:left w:w="115" w:type="dxa"/>
              <w:bottom w:w="0" w:type="dxa"/>
              <w:right w:w="115" w:type="dxa"/>
            </w:tcMar>
          </w:tcPr>
          <w:p w:rsidR="00B81E38" w:rsidRDefault="00E82967">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Requisitos e Princípios NBASP</w:t>
            </w:r>
          </w:p>
        </w:tc>
        <w:tc>
          <w:tcPr>
            <w:tcW w:w="7581" w:type="dxa"/>
            <w:tcBorders>
              <w:top w:val="single" w:sz="12" w:space="0" w:color="93C47D"/>
              <w:left w:val="single" w:sz="8" w:space="0" w:color="93C47D"/>
              <w:bottom w:val="single" w:sz="8" w:space="0" w:color="93C47D"/>
              <w:right w:val="single" w:sz="8" w:space="0" w:color="6D9EEB"/>
            </w:tcBorders>
            <w:tcMar>
              <w:top w:w="0" w:type="dxa"/>
              <w:left w:w="115" w:type="dxa"/>
              <w:bottom w:w="0" w:type="dxa"/>
              <w:right w:w="115" w:type="dxa"/>
            </w:tcMar>
          </w:tcPr>
          <w:p w:rsidR="00B81E38" w:rsidRDefault="00E82967">
            <w:pPr>
              <w:spacing w:line="276" w:lineRule="auto"/>
              <w:jc w:val="both"/>
              <w:rPr>
                <w:rFonts w:ascii="Arial" w:eastAsia="Arial" w:hAnsi="Arial" w:cs="Arial"/>
                <w:sz w:val="18"/>
                <w:szCs w:val="18"/>
              </w:rPr>
            </w:pPr>
            <w:r>
              <w:rPr>
                <w:rFonts w:ascii="Arial" w:eastAsia="Arial" w:hAnsi="Arial" w:cs="Arial"/>
                <w:sz w:val="18"/>
                <w:szCs w:val="18"/>
              </w:rPr>
              <w:t>NBASP 12/25;</w:t>
            </w:r>
          </w:p>
          <w:p w:rsidR="00B81E38" w:rsidRDefault="00E82967">
            <w:pPr>
              <w:spacing w:line="276" w:lineRule="auto"/>
              <w:jc w:val="both"/>
              <w:rPr>
                <w:rFonts w:ascii="Arial" w:eastAsia="Arial" w:hAnsi="Arial" w:cs="Arial"/>
                <w:sz w:val="18"/>
                <w:szCs w:val="18"/>
              </w:rPr>
            </w:pPr>
            <w:r>
              <w:rPr>
                <w:rFonts w:ascii="Arial" w:eastAsia="Arial" w:hAnsi="Arial" w:cs="Arial"/>
                <w:sz w:val="18"/>
                <w:szCs w:val="18"/>
              </w:rPr>
              <w:t>NBASP 50/1.1.1-1.1.4; 3.1;3.4;4.4</w:t>
            </w:r>
          </w:p>
          <w:p w:rsidR="00B81E38" w:rsidRDefault="00E82967">
            <w:pPr>
              <w:spacing w:line="276" w:lineRule="auto"/>
              <w:jc w:val="both"/>
              <w:rPr>
                <w:rFonts w:ascii="Arial" w:eastAsia="Arial" w:hAnsi="Arial" w:cs="Arial"/>
                <w:sz w:val="18"/>
                <w:szCs w:val="18"/>
              </w:rPr>
            </w:pPr>
            <w:r>
              <w:rPr>
                <w:rFonts w:ascii="Arial" w:eastAsia="Arial" w:hAnsi="Arial" w:cs="Arial"/>
                <w:sz w:val="18"/>
                <w:szCs w:val="18"/>
              </w:rPr>
              <w:t xml:space="preserve">NBASP 400/14; </w:t>
            </w:r>
          </w:p>
          <w:p w:rsidR="00B81E38" w:rsidRDefault="00E82967">
            <w:pPr>
              <w:spacing w:line="276" w:lineRule="auto"/>
              <w:jc w:val="both"/>
              <w:rPr>
                <w:rFonts w:ascii="Arial" w:eastAsia="Arial" w:hAnsi="Arial" w:cs="Arial"/>
                <w:sz w:val="18"/>
                <w:szCs w:val="18"/>
              </w:rPr>
            </w:pPr>
            <w:r>
              <w:rPr>
                <w:rFonts w:ascii="Arial" w:eastAsia="Arial" w:hAnsi="Arial" w:cs="Arial"/>
                <w:sz w:val="18"/>
                <w:szCs w:val="18"/>
              </w:rPr>
              <w:t>NBASP 4000/20-21; 153-157; 223-224; 228-229</w:t>
            </w:r>
          </w:p>
        </w:tc>
      </w:tr>
      <w:tr w:rsidR="00B81E38">
        <w:tc>
          <w:tcPr>
            <w:tcW w:w="1826" w:type="dxa"/>
            <w:tcBorders>
              <w:top w:val="single" w:sz="8" w:space="0" w:color="93C47D"/>
              <w:left w:val="single" w:sz="8" w:space="0" w:color="6D9EEB"/>
              <w:bottom w:val="single" w:sz="8" w:space="0" w:color="93C47D"/>
              <w:right w:val="single" w:sz="8" w:space="0" w:color="93C47D"/>
            </w:tcBorders>
            <w:shd w:val="clear" w:color="auto" w:fill="D9D9D9"/>
            <w:tcMar>
              <w:top w:w="0" w:type="dxa"/>
              <w:left w:w="115" w:type="dxa"/>
              <w:bottom w:w="0" w:type="dxa"/>
              <w:right w:w="115" w:type="dxa"/>
            </w:tcMar>
          </w:tcPr>
          <w:p w:rsidR="00B81E38" w:rsidRDefault="00E82967">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Guia</w:t>
            </w:r>
          </w:p>
        </w:tc>
        <w:tc>
          <w:tcPr>
            <w:tcW w:w="7581" w:type="dxa"/>
            <w:tcBorders>
              <w:top w:val="single" w:sz="8" w:space="0" w:color="93C47D"/>
              <w:left w:val="single" w:sz="8" w:space="0" w:color="93C47D"/>
              <w:bottom w:val="single" w:sz="8" w:space="0" w:color="93C47D"/>
              <w:right w:val="single" w:sz="8" w:space="0" w:color="6D9EEB"/>
            </w:tcBorders>
            <w:tcMar>
              <w:top w:w="0" w:type="dxa"/>
              <w:left w:w="115" w:type="dxa"/>
              <w:bottom w:w="0" w:type="dxa"/>
              <w:right w:w="115" w:type="dxa"/>
            </w:tcMar>
          </w:tcPr>
          <w:p w:rsidR="00B81E38" w:rsidRDefault="00E82967">
            <w:pPr>
              <w:spacing w:before="200" w:line="276" w:lineRule="auto"/>
              <w:jc w:val="both"/>
              <w:rPr>
                <w:rFonts w:ascii="Arial" w:eastAsia="Arial" w:hAnsi="Arial" w:cs="Arial"/>
                <w:sz w:val="18"/>
                <w:szCs w:val="18"/>
              </w:rPr>
            </w:pPr>
            <w:r>
              <w:rPr>
                <w:rFonts w:ascii="Arial" w:eastAsia="Arial" w:hAnsi="Arial" w:cs="Arial"/>
                <w:sz w:val="18"/>
                <w:szCs w:val="18"/>
              </w:rPr>
              <w:t>A responsabilidade pessoal pode ser medida pela extensão da participação da pessoa em uma transação não conforme (ilegal, desnecessária, excessiva, extravagante, desmedida), conforme indicado nos documentos de transações que ela assinou (NBASP 4000/223).</w:t>
            </w:r>
          </w:p>
          <w:p w:rsidR="00B81E38" w:rsidRDefault="00E82967">
            <w:pPr>
              <w:spacing w:before="200" w:line="276" w:lineRule="auto"/>
              <w:jc w:val="both"/>
              <w:rPr>
                <w:rFonts w:ascii="Arial" w:eastAsia="Arial" w:hAnsi="Arial" w:cs="Arial"/>
                <w:sz w:val="18"/>
                <w:szCs w:val="18"/>
              </w:rPr>
            </w:pPr>
            <w:r>
              <w:rPr>
                <w:rFonts w:ascii="Arial" w:eastAsia="Arial" w:hAnsi="Arial" w:cs="Arial"/>
                <w:sz w:val="18"/>
                <w:szCs w:val="18"/>
              </w:rPr>
              <w:t>O</w:t>
            </w:r>
            <w:r>
              <w:rPr>
                <w:rFonts w:ascii="Arial" w:eastAsia="Arial" w:hAnsi="Arial" w:cs="Arial"/>
                <w:sz w:val="18"/>
                <w:szCs w:val="18"/>
              </w:rPr>
              <w:t xml:space="preserve"> auditor deve realizar procedimentos para obter evidência de auditoria suficiente e apropriada quanto à responsabilidade do agente público que pode ser responsabilizado por atos de não conformidade ou por atos ilícitos (NBASP 4000/153).</w:t>
            </w:r>
          </w:p>
          <w:p w:rsidR="00B81E38" w:rsidRDefault="00E82967">
            <w:pPr>
              <w:spacing w:before="200" w:line="276" w:lineRule="auto"/>
              <w:jc w:val="both"/>
              <w:rPr>
                <w:rFonts w:ascii="Arial" w:eastAsia="Arial" w:hAnsi="Arial" w:cs="Arial"/>
                <w:sz w:val="18"/>
                <w:szCs w:val="18"/>
              </w:rPr>
            </w:pPr>
            <w:r>
              <w:rPr>
                <w:rFonts w:ascii="Arial" w:eastAsia="Arial" w:hAnsi="Arial" w:cs="Arial"/>
                <w:sz w:val="18"/>
                <w:szCs w:val="18"/>
              </w:rPr>
              <w:t>O julgamento profis</w:t>
            </w:r>
            <w:r>
              <w:rPr>
                <w:rFonts w:ascii="Arial" w:eastAsia="Arial" w:hAnsi="Arial" w:cs="Arial"/>
                <w:sz w:val="18"/>
                <w:szCs w:val="18"/>
              </w:rPr>
              <w:t>sional para determinar se o agente público é ou não pessoalmente responsável por atos de não conformidade pode incluir (NBASP 4000/157):</w:t>
            </w:r>
          </w:p>
          <w:p w:rsidR="00B81E38" w:rsidRDefault="00E82967">
            <w:pPr>
              <w:spacing w:before="200" w:line="276" w:lineRule="auto"/>
              <w:ind w:left="850"/>
              <w:jc w:val="both"/>
              <w:rPr>
                <w:rFonts w:ascii="Arial" w:eastAsia="Arial" w:hAnsi="Arial" w:cs="Arial"/>
                <w:sz w:val="18"/>
                <w:szCs w:val="18"/>
              </w:rPr>
            </w:pPr>
            <w:r>
              <w:rPr>
                <w:rFonts w:ascii="Arial" w:eastAsia="Arial" w:hAnsi="Arial" w:cs="Arial"/>
                <w:sz w:val="18"/>
                <w:szCs w:val="18"/>
              </w:rPr>
              <w:t>a) uma avaliação da forma como as responsabilidades mencionadas pela lei ou incluídas na descrição do cargo do agente p</w:t>
            </w:r>
            <w:r>
              <w:rPr>
                <w:rFonts w:ascii="Arial" w:eastAsia="Arial" w:hAnsi="Arial" w:cs="Arial"/>
                <w:sz w:val="18"/>
                <w:szCs w:val="18"/>
              </w:rPr>
              <w:t xml:space="preserve">úblico foram realizadas; </w:t>
            </w:r>
          </w:p>
          <w:p w:rsidR="00B81E38" w:rsidRDefault="00E82967">
            <w:pPr>
              <w:spacing w:before="200" w:line="276" w:lineRule="auto"/>
              <w:ind w:left="850"/>
              <w:jc w:val="both"/>
              <w:rPr>
                <w:rFonts w:ascii="Arial" w:eastAsia="Arial" w:hAnsi="Arial" w:cs="Arial"/>
                <w:sz w:val="18"/>
                <w:szCs w:val="18"/>
              </w:rPr>
            </w:pPr>
            <w:r>
              <w:rPr>
                <w:rFonts w:ascii="Arial" w:eastAsia="Arial" w:hAnsi="Arial" w:cs="Arial"/>
                <w:sz w:val="18"/>
                <w:szCs w:val="18"/>
              </w:rPr>
              <w:t xml:space="preserve">b) determinar se o ato de não conformidade ou ilegal do agente público causou perda identificada, mau uso ou desperdício de fundos ou bens públicos; </w:t>
            </w:r>
          </w:p>
          <w:p w:rsidR="00B81E38" w:rsidRDefault="00E82967">
            <w:pPr>
              <w:spacing w:before="200" w:line="276" w:lineRule="auto"/>
              <w:ind w:left="850"/>
              <w:jc w:val="both"/>
              <w:rPr>
                <w:rFonts w:ascii="Arial" w:eastAsia="Arial" w:hAnsi="Arial" w:cs="Arial"/>
                <w:sz w:val="18"/>
                <w:szCs w:val="18"/>
              </w:rPr>
            </w:pPr>
            <w:r>
              <w:rPr>
                <w:rFonts w:ascii="Arial" w:eastAsia="Arial" w:hAnsi="Arial" w:cs="Arial"/>
                <w:sz w:val="18"/>
                <w:szCs w:val="18"/>
              </w:rPr>
              <w:t xml:space="preserve">c) uma avaliação das possíveis circunstâncias excludentes de responsabilização, </w:t>
            </w:r>
            <w:r>
              <w:rPr>
                <w:rFonts w:ascii="Arial" w:eastAsia="Arial" w:hAnsi="Arial" w:cs="Arial"/>
                <w:sz w:val="18"/>
                <w:szCs w:val="18"/>
              </w:rPr>
              <w:t>como as de ilicitude ou de culpabilidade (exemplos: artigos 20 a 26 do Código Penal; artigo 196 e seguintes da Lei estadual n° 20.756, de 28 de janeiro de 2020 e artigos 22 e 20 da Lei de Introdução às Normas do Direito Brasileiro-LINDB).</w:t>
            </w:r>
          </w:p>
          <w:p w:rsidR="00B81E38" w:rsidRDefault="00E82967">
            <w:pPr>
              <w:spacing w:before="200" w:line="276" w:lineRule="auto"/>
              <w:jc w:val="both"/>
              <w:rPr>
                <w:rFonts w:ascii="Arial" w:eastAsia="Arial" w:hAnsi="Arial" w:cs="Arial"/>
                <w:sz w:val="18"/>
                <w:szCs w:val="18"/>
              </w:rPr>
            </w:pPr>
            <w:r>
              <w:rPr>
                <w:rFonts w:ascii="Arial" w:eastAsia="Arial" w:hAnsi="Arial" w:cs="Arial"/>
                <w:sz w:val="18"/>
                <w:szCs w:val="18"/>
              </w:rPr>
              <w:t>No relatório, o a</w:t>
            </w:r>
            <w:r>
              <w:rPr>
                <w:rFonts w:ascii="Arial" w:eastAsia="Arial" w:hAnsi="Arial" w:cs="Arial"/>
                <w:sz w:val="18"/>
                <w:szCs w:val="18"/>
              </w:rPr>
              <w:t>uditor precisa explicar os métodos aplicados para determinar se cada pessoa responsável envolvida na administração, gerenciamento, uso ou controle de recursos ou bens públicos é ou não responsável pelos atos de não conformidade (NBASP 4000/224).</w:t>
            </w:r>
          </w:p>
          <w:p w:rsidR="00B81E38" w:rsidRDefault="00E82967">
            <w:pPr>
              <w:spacing w:before="200" w:line="276" w:lineRule="auto"/>
              <w:jc w:val="both"/>
              <w:rPr>
                <w:rFonts w:ascii="Arial" w:eastAsia="Arial" w:hAnsi="Arial" w:cs="Arial"/>
                <w:sz w:val="18"/>
                <w:szCs w:val="18"/>
              </w:rPr>
            </w:pPr>
            <w:r>
              <w:rPr>
                <w:rFonts w:ascii="Arial" w:eastAsia="Arial" w:hAnsi="Arial" w:cs="Arial"/>
                <w:sz w:val="18"/>
                <w:szCs w:val="18"/>
              </w:rPr>
              <w:t>Caso não t</w:t>
            </w:r>
            <w:r>
              <w:rPr>
                <w:rFonts w:ascii="Arial" w:eastAsia="Arial" w:hAnsi="Arial" w:cs="Arial"/>
                <w:sz w:val="18"/>
                <w:szCs w:val="18"/>
              </w:rPr>
              <w:t>enha sido identificada responsabilidade pessoal do gestor pelos atos de não conformidade, este papel de trabalho pode ser dispensado.</w:t>
            </w:r>
          </w:p>
          <w:p w:rsidR="00B81E38" w:rsidRDefault="00E82967">
            <w:pPr>
              <w:spacing w:before="200" w:line="276" w:lineRule="auto"/>
              <w:jc w:val="both"/>
              <w:rPr>
                <w:rFonts w:ascii="Arial" w:eastAsia="Arial" w:hAnsi="Arial" w:cs="Arial"/>
                <w:sz w:val="18"/>
                <w:szCs w:val="18"/>
              </w:rPr>
            </w:pPr>
            <w:r>
              <w:rPr>
                <w:rFonts w:ascii="Arial" w:eastAsia="Arial" w:hAnsi="Arial" w:cs="Arial"/>
                <w:sz w:val="18"/>
                <w:szCs w:val="18"/>
              </w:rPr>
              <w:t>Na mensuração da responsabilidade, devem ser respondidos os seguintes subtópicos:</w:t>
            </w:r>
          </w:p>
          <w:p w:rsidR="00B81E38" w:rsidRDefault="00E82967">
            <w:pPr>
              <w:spacing w:before="200" w:line="276" w:lineRule="auto"/>
              <w:jc w:val="both"/>
              <w:rPr>
                <w:rFonts w:ascii="Arial" w:eastAsia="Arial" w:hAnsi="Arial" w:cs="Arial"/>
                <w:sz w:val="18"/>
                <w:szCs w:val="18"/>
              </w:rPr>
            </w:pPr>
            <w:r>
              <w:rPr>
                <w:rFonts w:ascii="Arial" w:eastAsia="Arial" w:hAnsi="Arial" w:cs="Arial"/>
                <w:sz w:val="18"/>
                <w:szCs w:val="18"/>
              </w:rPr>
              <w:t xml:space="preserve">Na avaliação da reprovabilidade da conduta e na mensuração da responsabilidade pelos achados, podem auxiliar na elaboração da opinião técnica do auditor ou equipe de auditoria, a resposta aos seguintes itens:  </w:t>
            </w:r>
          </w:p>
          <w:p w:rsidR="00B81E38" w:rsidRDefault="00E82967">
            <w:pPr>
              <w:numPr>
                <w:ilvl w:val="0"/>
                <w:numId w:val="1"/>
              </w:numPr>
              <w:spacing w:before="200" w:line="276" w:lineRule="auto"/>
              <w:jc w:val="both"/>
              <w:rPr>
                <w:rFonts w:ascii="Arial" w:eastAsia="Arial" w:hAnsi="Arial" w:cs="Arial"/>
                <w:sz w:val="18"/>
                <w:szCs w:val="18"/>
              </w:rPr>
            </w:pPr>
            <w:r>
              <w:rPr>
                <w:rFonts w:ascii="Arial" w:eastAsia="Arial" w:hAnsi="Arial" w:cs="Arial"/>
                <w:sz w:val="18"/>
                <w:szCs w:val="18"/>
              </w:rPr>
              <w:t>A individualização das condutas das pessoas r</w:t>
            </w:r>
            <w:r>
              <w:rPr>
                <w:rFonts w:ascii="Arial" w:eastAsia="Arial" w:hAnsi="Arial" w:cs="Arial"/>
                <w:sz w:val="18"/>
                <w:szCs w:val="18"/>
              </w:rPr>
              <w:t>esponsáveis e suas explicações sobre seus atos de não conformidade e/ou possíveis atos ilícitos, quando apropriado;</w:t>
            </w:r>
          </w:p>
          <w:p w:rsidR="00B81E38" w:rsidRDefault="00E82967">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O valor da perda, do mau uso ou do desperdício gerado e o montante a ser ressarcido devido à responsabilidade pessoal;</w:t>
            </w:r>
          </w:p>
          <w:p w:rsidR="00B81E38" w:rsidRDefault="00E82967">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Quaisquer medidas tom</w:t>
            </w:r>
            <w:r>
              <w:rPr>
                <w:rFonts w:ascii="Arial" w:eastAsia="Arial" w:hAnsi="Arial" w:cs="Arial"/>
                <w:sz w:val="18"/>
                <w:szCs w:val="18"/>
              </w:rPr>
              <w:t>adas por pessoas responsáveis, antes ou durante a auditoria, para reparar a perda, o mau uso ou desperdício gerados;</w:t>
            </w:r>
          </w:p>
          <w:p w:rsidR="00B81E38" w:rsidRDefault="00E82967">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Os argumentos da administração sobre os atos de conformidade ou ilícitos;</w:t>
            </w:r>
          </w:p>
          <w:p w:rsidR="00B81E38" w:rsidRDefault="00E82967">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 xml:space="preserve">Os obstáculos e as dificuldades reais do gestor e as exigências das políticas </w:t>
            </w:r>
            <w:r>
              <w:rPr>
                <w:rFonts w:ascii="Arial" w:eastAsia="Arial" w:hAnsi="Arial" w:cs="Arial"/>
                <w:sz w:val="18"/>
                <w:szCs w:val="18"/>
              </w:rPr>
              <w:lastRenderedPageBreak/>
              <w:t xml:space="preserve">públicas a seu cargo, bem como as circunstâncias práticas que houverem imposto, limitado ou condicionado a ação do </w:t>
            </w:r>
            <w:proofErr w:type="gramStart"/>
            <w:r>
              <w:rPr>
                <w:rFonts w:ascii="Arial" w:eastAsia="Arial" w:hAnsi="Arial" w:cs="Arial"/>
                <w:sz w:val="18"/>
                <w:szCs w:val="18"/>
              </w:rPr>
              <w:t>agente  (</w:t>
            </w:r>
            <w:proofErr w:type="gramEnd"/>
            <w:r>
              <w:rPr>
                <w:rFonts w:ascii="Arial" w:eastAsia="Arial" w:hAnsi="Arial" w:cs="Arial"/>
                <w:sz w:val="18"/>
                <w:szCs w:val="18"/>
              </w:rPr>
              <w:t>art. 22, caput e §1º da LINDB);</w:t>
            </w:r>
          </w:p>
          <w:p w:rsidR="00B81E38" w:rsidRDefault="00E82967">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A natureza e a gravida</w:t>
            </w:r>
            <w:r>
              <w:rPr>
                <w:rFonts w:ascii="Arial" w:eastAsia="Arial" w:hAnsi="Arial" w:cs="Arial"/>
                <w:sz w:val="18"/>
                <w:szCs w:val="18"/>
              </w:rPr>
              <w:t>de da infração cometida, os danos que dela provierem para a administração pública, as circunstâncias agravantes ou atenuantes e os antecedentes do agente (art. 22, §2º da LINDB);</w:t>
            </w:r>
          </w:p>
          <w:p w:rsidR="00B81E38" w:rsidRDefault="00E82967">
            <w:pPr>
              <w:numPr>
                <w:ilvl w:val="0"/>
                <w:numId w:val="1"/>
              </w:numPr>
              <w:spacing w:line="276" w:lineRule="auto"/>
              <w:jc w:val="both"/>
              <w:rPr>
                <w:rFonts w:ascii="Arial" w:eastAsia="Arial" w:hAnsi="Arial" w:cs="Arial"/>
                <w:sz w:val="18"/>
                <w:szCs w:val="18"/>
              </w:rPr>
            </w:pPr>
            <w:r>
              <w:rPr>
                <w:rFonts w:ascii="Arial" w:eastAsia="Arial" w:hAnsi="Arial" w:cs="Arial"/>
                <w:sz w:val="18"/>
                <w:szCs w:val="18"/>
              </w:rPr>
              <w:t>A natureza e extensão das sanções legalmente previstas para o caso.</w:t>
            </w:r>
          </w:p>
        </w:tc>
      </w:tr>
      <w:tr w:rsidR="00B81E38">
        <w:trPr>
          <w:trHeight w:val="693"/>
        </w:trPr>
        <w:tc>
          <w:tcPr>
            <w:tcW w:w="1826" w:type="dxa"/>
            <w:tcBorders>
              <w:top w:val="single" w:sz="8" w:space="0" w:color="93C47D"/>
              <w:left w:val="single" w:sz="8" w:space="0" w:color="6D9EEB"/>
              <w:bottom w:val="single" w:sz="8" w:space="0" w:color="93C47D"/>
              <w:right w:val="single" w:sz="8" w:space="0" w:color="93C47D"/>
            </w:tcBorders>
            <w:shd w:val="clear" w:color="auto" w:fill="D9D9D9"/>
            <w:tcMar>
              <w:top w:w="0" w:type="dxa"/>
              <w:left w:w="115" w:type="dxa"/>
              <w:bottom w:w="0" w:type="dxa"/>
              <w:right w:w="115" w:type="dxa"/>
            </w:tcMar>
          </w:tcPr>
          <w:p w:rsidR="00B81E38" w:rsidRDefault="00E82967">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lastRenderedPageBreak/>
              <w:t>Conclusão</w:t>
            </w:r>
          </w:p>
        </w:tc>
        <w:tc>
          <w:tcPr>
            <w:tcW w:w="7581" w:type="dxa"/>
            <w:tcBorders>
              <w:top w:val="single" w:sz="8" w:space="0" w:color="93C47D"/>
              <w:left w:val="single" w:sz="8" w:space="0" w:color="93C47D"/>
              <w:bottom w:val="single" w:sz="8" w:space="0" w:color="93C47D"/>
              <w:right w:val="single" w:sz="8" w:space="0" w:color="6D9EEB"/>
            </w:tcBorders>
            <w:tcMar>
              <w:top w:w="0" w:type="dxa"/>
              <w:left w:w="115" w:type="dxa"/>
              <w:bottom w:w="0" w:type="dxa"/>
              <w:right w:w="115" w:type="dxa"/>
            </w:tcMar>
          </w:tcPr>
          <w:p w:rsidR="00B81E38" w:rsidRDefault="00E82967">
            <w:pPr>
              <w:tabs>
                <w:tab w:val="center" w:pos="4252"/>
                <w:tab w:val="right" w:pos="8504"/>
              </w:tabs>
              <w:spacing w:before="58"/>
              <w:jc w:val="both"/>
              <w:rPr>
                <w:rFonts w:ascii="Arial" w:eastAsia="Arial" w:hAnsi="Arial" w:cs="Arial"/>
                <w:sz w:val="18"/>
                <w:szCs w:val="18"/>
              </w:rPr>
            </w:pPr>
            <w:r>
              <w:rPr>
                <w:rFonts w:ascii="Arial" w:eastAsia="Arial" w:hAnsi="Arial" w:cs="Arial"/>
                <w:sz w:val="18"/>
                <w:szCs w:val="18"/>
              </w:rPr>
              <w:t>O coordenador e o supervisor da equipe de auditoria precisam verificar se foram considerados de maneira adequada todos os itens propostos na matriz de responsabilização.</w:t>
            </w:r>
          </w:p>
        </w:tc>
      </w:tr>
      <w:tr w:rsidR="00B81E38">
        <w:trPr>
          <w:trHeight w:val="567"/>
        </w:trPr>
        <w:tc>
          <w:tcPr>
            <w:tcW w:w="1826" w:type="dxa"/>
            <w:tcBorders>
              <w:top w:val="single" w:sz="8" w:space="0" w:color="93C47D"/>
              <w:left w:val="single" w:sz="8" w:space="0" w:color="6D9EEB"/>
              <w:bottom w:val="single" w:sz="8" w:space="0" w:color="6D9EEB"/>
              <w:right w:val="single" w:sz="8" w:space="0" w:color="93C47D"/>
            </w:tcBorders>
            <w:shd w:val="clear" w:color="auto" w:fill="D9D9D9"/>
            <w:tcMar>
              <w:top w:w="0" w:type="dxa"/>
              <w:left w:w="115" w:type="dxa"/>
              <w:bottom w:w="0" w:type="dxa"/>
              <w:right w:w="115" w:type="dxa"/>
            </w:tcMar>
          </w:tcPr>
          <w:p w:rsidR="00B81E38" w:rsidRDefault="00E82967">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 xml:space="preserve">Evidências de preparação e revisão </w:t>
            </w:r>
          </w:p>
        </w:tc>
        <w:tc>
          <w:tcPr>
            <w:tcW w:w="7581" w:type="dxa"/>
            <w:tcBorders>
              <w:top w:val="single" w:sz="8" w:space="0" w:color="93C47D"/>
              <w:left w:val="single" w:sz="8" w:space="0" w:color="93C47D"/>
              <w:bottom w:val="single" w:sz="8" w:space="0" w:color="6D9EEB"/>
              <w:right w:val="single" w:sz="8" w:space="0" w:color="6D9EEB"/>
            </w:tcBorders>
            <w:tcMar>
              <w:top w:w="0" w:type="dxa"/>
              <w:left w:w="115" w:type="dxa"/>
              <w:bottom w:w="0" w:type="dxa"/>
              <w:right w:w="115" w:type="dxa"/>
            </w:tcMar>
          </w:tcPr>
          <w:p w:rsidR="00B81E38" w:rsidRDefault="00E82967">
            <w:pPr>
              <w:tabs>
                <w:tab w:val="center" w:pos="4252"/>
                <w:tab w:val="right" w:pos="8504"/>
              </w:tabs>
              <w:spacing w:before="58"/>
              <w:rPr>
                <w:rFonts w:ascii="Arial" w:eastAsia="Arial" w:hAnsi="Arial" w:cs="Arial"/>
                <w:sz w:val="18"/>
                <w:szCs w:val="18"/>
              </w:rPr>
            </w:pPr>
            <w:r>
              <w:rPr>
                <w:rFonts w:ascii="Arial" w:eastAsia="Arial" w:hAnsi="Arial" w:cs="Arial"/>
                <w:sz w:val="18"/>
                <w:szCs w:val="18"/>
              </w:rPr>
              <w:t>A tabela indicando o nome das pessoas q</w:t>
            </w:r>
            <w:r>
              <w:rPr>
                <w:rFonts w:ascii="Arial" w:eastAsia="Arial" w:hAnsi="Arial" w:cs="Arial"/>
                <w:sz w:val="18"/>
                <w:szCs w:val="18"/>
              </w:rPr>
              <w:t xml:space="preserve">ue elaboraram e documentaram a matriz, bem como seu(s) revisor(es) deverão ser preenchidas ao final. </w:t>
            </w:r>
          </w:p>
        </w:tc>
      </w:tr>
      <w:tr w:rsidR="00B81E38">
        <w:trPr>
          <w:trHeight w:val="567"/>
        </w:trPr>
        <w:tc>
          <w:tcPr>
            <w:tcW w:w="1826" w:type="dxa"/>
            <w:tcBorders>
              <w:top w:val="single" w:sz="8" w:space="0" w:color="93C47D"/>
              <w:left w:val="single" w:sz="8" w:space="0" w:color="6D9EEB"/>
              <w:bottom w:val="single" w:sz="8" w:space="0" w:color="6D9EEB"/>
              <w:right w:val="single" w:sz="8" w:space="0" w:color="93C47D"/>
            </w:tcBorders>
            <w:shd w:val="clear" w:color="auto" w:fill="D9D9D9"/>
            <w:tcMar>
              <w:top w:w="0" w:type="dxa"/>
              <w:left w:w="115" w:type="dxa"/>
              <w:bottom w:w="0" w:type="dxa"/>
              <w:right w:w="115" w:type="dxa"/>
            </w:tcMar>
          </w:tcPr>
          <w:p w:rsidR="00B81E38" w:rsidRDefault="00E82967">
            <w:pPr>
              <w:tabs>
                <w:tab w:val="center" w:pos="4252"/>
                <w:tab w:val="right" w:pos="8504"/>
              </w:tabs>
              <w:spacing w:before="58"/>
              <w:rPr>
                <w:rFonts w:ascii="Arial" w:eastAsia="Arial" w:hAnsi="Arial" w:cs="Arial"/>
                <w:b/>
                <w:sz w:val="18"/>
                <w:szCs w:val="18"/>
              </w:rPr>
            </w:pPr>
            <w:r>
              <w:rPr>
                <w:rFonts w:ascii="Arial" w:eastAsia="Arial" w:hAnsi="Arial" w:cs="Arial"/>
                <w:b/>
                <w:sz w:val="18"/>
                <w:szCs w:val="18"/>
              </w:rPr>
              <w:t>Materiais de apoio e consulta</w:t>
            </w:r>
          </w:p>
        </w:tc>
        <w:tc>
          <w:tcPr>
            <w:tcW w:w="7581" w:type="dxa"/>
            <w:tcBorders>
              <w:top w:val="single" w:sz="8" w:space="0" w:color="93C47D"/>
              <w:left w:val="single" w:sz="8" w:space="0" w:color="93C47D"/>
              <w:bottom w:val="single" w:sz="8" w:space="0" w:color="6D9EEB"/>
              <w:right w:val="single" w:sz="8" w:space="0" w:color="6D9EEB"/>
            </w:tcBorders>
            <w:tcMar>
              <w:top w:w="0" w:type="dxa"/>
              <w:left w:w="115" w:type="dxa"/>
              <w:bottom w:w="0" w:type="dxa"/>
              <w:right w:w="115" w:type="dxa"/>
            </w:tcMar>
          </w:tcPr>
          <w:p w:rsidR="00B81E38" w:rsidRDefault="00E82967">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 xml:space="preserve">Responsabilização de agentes perante o Tribunal de Contas: </w:t>
            </w:r>
            <w:hyperlink r:id="rId10">
              <w:r>
                <w:rPr>
                  <w:rFonts w:ascii="Arial" w:eastAsia="Arial" w:hAnsi="Arial" w:cs="Arial"/>
                  <w:color w:val="1155CC"/>
                  <w:sz w:val="18"/>
                  <w:szCs w:val="18"/>
                  <w:u w:val="single"/>
                </w:rPr>
                <w:t>https://tcers.tc.br/repo/orientacoes_gestores/RESPONSABILIZACAO-AGENTES.pdf</w:t>
              </w:r>
            </w:hyperlink>
          </w:p>
          <w:p w:rsidR="00B81E38" w:rsidRDefault="00B81E38">
            <w:pPr>
              <w:tabs>
                <w:tab w:val="center" w:pos="4252"/>
                <w:tab w:val="right" w:pos="8504"/>
              </w:tabs>
              <w:spacing w:before="58"/>
              <w:ind w:left="354" w:hanging="283"/>
              <w:rPr>
                <w:rFonts w:ascii="Arial" w:eastAsia="Arial" w:hAnsi="Arial" w:cs="Arial"/>
                <w:sz w:val="18"/>
                <w:szCs w:val="18"/>
              </w:rPr>
            </w:pPr>
          </w:p>
          <w:p w:rsidR="00B81E38" w:rsidRDefault="00E82967">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 xml:space="preserve">Responsabilização de Agentes Segundo a Jurisprudência do TCU – Uma abordagem a partir </w:t>
            </w:r>
            <w:r>
              <w:rPr>
                <w:rFonts w:ascii="Arial" w:eastAsia="Arial" w:hAnsi="Arial" w:cs="Arial"/>
                <w:sz w:val="18"/>
                <w:szCs w:val="18"/>
              </w:rPr>
              <w:t xml:space="preserve">de Licitações e Contratos. Aula 5 - Matriz de responsabilização - </w:t>
            </w:r>
            <w:hyperlink r:id="rId11">
              <w:r>
                <w:rPr>
                  <w:rFonts w:ascii="Arial" w:eastAsia="Arial" w:hAnsi="Arial" w:cs="Arial"/>
                  <w:color w:val="1155CC"/>
                  <w:sz w:val="18"/>
                  <w:szCs w:val="18"/>
                  <w:u w:val="single"/>
                </w:rPr>
                <w:t>https://portal.tcu.gov.br/biblioteca-digital/responsabilizacao-de-agentes-segundo-a-jurisprudencia-do-tcu-uma-abordagem-a-partir-de-licitacoes-e-contratos-aulas-1-a-5.htm</w:t>
              </w:r>
            </w:hyperlink>
            <w:r>
              <w:rPr>
                <w:rFonts w:ascii="Arial" w:eastAsia="Arial" w:hAnsi="Arial" w:cs="Arial"/>
                <w:sz w:val="18"/>
                <w:szCs w:val="18"/>
              </w:rPr>
              <w:t xml:space="preserve"> </w:t>
            </w:r>
          </w:p>
          <w:p w:rsidR="00B81E38" w:rsidRDefault="00B81E38">
            <w:pPr>
              <w:tabs>
                <w:tab w:val="center" w:pos="4252"/>
                <w:tab w:val="right" w:pos="8504"/>
              </w:tabs>
              <w:spacing w:before="58"/>
              <w:ind w:left="354" w:hanging="283"/>
              <w:rPr>
                <w:rFonts w:ascii="Arial" w:eastAsia="Arial" w:hAnsi="Arial" w:cs="Arial"/>
                <w:sz w:val="18"/>
                <w:szCs w:val="18"/>
              </w:rPr>
            </w:pPr>
          </w:p>
          <w:p w:rsidR="00B81E38" w:rsidRDefault="00E82967">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Da responsabilização do agente  e a desconsideração da personalidade jurídica no âm</w:t>
            </w:r>
            <w:r>
              <w:rPr>
                <w:rFonts w:ascii="Arial" w:eastAsia="Arial" w:hAnsi="Arial" w:cs="Arial"/>
                <w:sz w:val="18"/>
                <w:szCs w:val="18"/>
              </w:rPr>
              <w:t xml:space="preserve">bito dos Tribunais de Contas - </w:t>
            </w:r>
            <w:hyperlink r:id="rId12">
              <w:r>
                <w:rPr>
                  <w:rFonts w:ascii="Arial" w:eastAsia="Arial" w:hAnsi="Arial" w:cs="Arial"/>
                  <w:color w:val="1155CC"/>
                  <w:sz w:val="18"/>
                  <w:szCs w:val="18"/>
                  <w:u w:val="single"/>
                </w:rPr>
                <w:t>https://revista.tce.mg.gov.br/revista/index.php/TCEMG/article/view/563/535</w:t>
              </w:r>
            </w:hyperlink>
            <w:r>
              <w:rPr>
                <w:rFonts w:ascii="Arial" w:eastAsia="Arial" w:hAnsi="Arial" w:cs="Arial"/>
                <w:sz w:val="18"/>
                <w:szCs w:val="18"/>
              </w:rPr>
              <w:t xml:space="preserve"> </w:t>
            </w:r>
          </w:p>
          <w:p w:rsidR="00B81E38" w:rsidRDefault="00B81E38">
            <w:pPr>
              <w:tabs>
                <w:tab w:val="center" w:pos="4252"/>
                <w:tab w:val="right" w:pos="8504"/>
              </w:tabs>
              <w:spacing w:before="58"/>
              <w:ind w:left="354" w:hanging="283"/>
              <w:rPr>
                <w:rFonts w:ascii="Arial" w:eastAsia="Arial" w:hAnsi="Arial" w:cs="Arial"/>
                <w:sz w:val="18"/>
                <w:szCs w:val="18"/>
              </w:rPr>
            </w:pPr>
          </w:p>
          <w:p w:rsidR="00B81E38" w:rsidRDefault="00E82967">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A competência sancionadora dos Tribunais de Contas e o</w:t>
            </w:r>
            <w:r>
              <w:rPr>
                <w:rFonts w:ascii="Arial" w:eastAsia="Arial" w:hAnsi="Arial" w:cs="Arial"/>
                <w:sz w:val="18"/>
                <w:szCs w:val="18"/>
              </w:rPr>
              <w:t xml:space="preserve"> princípio da reserva legal - </w:t>
            </w:r>
            <w:hyperlink r:id="rId13">
              <w:r>
                <w:rPr>
                  <w:rFonts w:ascii="Arial" w:eastAsia="Arial" w:hAnsi="Arial" w:cs="Arial"/>
                  <w:color w:val="1155CC"/>
                  <w:sz w:val="18"/>
                  <w:szCs w:val="18"/>
                  <w:u w:val="single"/>
                </w:rPr>
                <w:t>https://www.conjur.com.br/2023-jan-10/viana-melo-competencia-sancionadora-tribunais-contas/</w:t>
              </w:r>
            </w:hyperlink>
          </w:p>
          <w:p w:rsidR="00B81E38" w:rsidRDefault="00B81E38">
            <w:pPr>
              <w:tabs>
                <w:tab w:val="center" w:pos="4252"/>
                <w:tab w:val="right" w:pos="8504"/>
              </w:tabs>
              <w:spacing w:before="58"/>
              <w:ind w:left="354" w:hanging="283"/>
              <w:rPr>
                <w:rFonts w:ascii="Arial" w:eastAsia="Arial" w:hAnsi="Arial" w:cs="Arial"/>
                <w:sz w:val="18"/>
                <w:szCs w:val="18"/>
              </w:rPr>
            </w:pPr>
          </w:p>
          <w:p w:rsidR="00B81E38" w:rsidRDefault="00E82967">
            <w:pPr>
              <w:numPr>
                <w:ilvl w:val="0"/>
                <w:numId w:val="2"/>
              </w:numPr>
              <w:tabs>
                <w:tab w:val="center" w:pos="4252"/>
                <w:tab w:val="right" w:pos="8504"/>
              </w:tabs>
              <w:spacing w:before="58"/>
              <w:ind w:left="354" w:hanging="283"/>
              <w:rPr>
                <w:rFonts w:ascii="Arial" w:eastAsia="Arial" w:hAnsi="Arial" w:cs="Arial"/>
                <w:sz w:val="18"/>
                <w:szCs w:val="18"/>
              </w:rPr>
            </w:pPr>
            <w:r>
              <w:rPr>
                <w:rFonts w:ascii="Arial" w:eastAsia="Arial" w:hAnsi="Arial" w:cs="Arial"/>
                <w:sz w:val="18"/>
                <w:szCs w:val="18"/>
              </w:rPr>
              <w:t xml:space="preserve">O artigo 71 da Constituição da República comentado pelo Supremo Tribunal Federal - </w:t>
            </w:r>
            <w:hyperlink r:id="rId14">
              <w:r>
                <w:rPr>
                  <w:rFonts w:ascii="Arial" w:eastAsia="Arial" w:hAnsi="Arial" w:cs="Arial"/>
                  <w:color w:val="1155CC"/>
                  <w:sz w:val="18"/>
                  <w:szCs w:val="18"/>
                  <w:u w:val="single"/>
                </w:rPr>
                <w:t>https://portal.stf.jus.br/constituicao-supremo/artigo.asp?abrirBase=</w:t>
              </w:r>
              <w:r>
                <w:rPr>
                  <w:rFonts w:ascii="Arial" w:eastAsia="Arial" w:hAnsi="Arial" w:cs="Arial"/>
                  <w:color w:val="1155CC"/>
                  <w:sz w:val="18"/>
                  <w:szCs w:val="18"/>
                  <w:u w:val="single"/>
                </w:rPr>
                <w:t>CF&amp;abrirArtigo=71</w:t>
              </w:r>
            </w:hyperlink>
            <w:r>
              <w:rPr>
                <w:rFonts w:ascii="Arial" w:eastAsia="Arial" w:hAnsi="Arial" w:cs="Arial"/>
                <w:sz w:val="18"/>
                <w:szCs w:val="18"/>
              </w:rPr>
              <w:t xml:space="preserve"> </w:t>
            </w:r>
          </w:p>
          <w:p w:rsidR="00B81E38" w:rsidRDefault="00B81E38">
            <w:pPr>
              <w:tabs>
                <w:tab w:val="center" w:pos="4252"/>
                <w:tab w:val="right" w:pos="8504"/>
              </w:tabs>
              <w:spacing w:before="58"/>
              <w:rPr>
                <w:rFonts w:ascii="Arial" w:eastAsia="Arial" w:hAnsi="Arial" w:cs="Arial"/>
                <w:sz w:val="18"/>
                <w:szCs w:val="18"/>
              </w:rPr>
            </w:pPr>
          </w:p>
        </w:tc>
      </w:tr>
    </w:tbl>
    <w:p w:rsidR="00B81E38" w:rsidRDefault="00B81E38">
      <w:pPr>
        <w:widowControl/>
        <w:spacing w:line="276" w:lineRule="auto"/>
        <w:rPr>
          <w:rFonts w:ascii="Calibri" w:eastAsia="Calibri" w:hAnsi="Calibri" w:cs="Calibri"/>
          <w:sz w:val="22"/>
          <w:szCs w:val="22"/>
        </w:rPr>
      </w:pPr>
    </w:p>
    <w:p w:rsidR="00B81E38" w:rsidRDefault="00B81E38">
      <w:pPr>
        <w:jc w:val="both"/>
        <w:rPr>
          <w:rFonts w:ascii="Arial" w:eastAsia="Arial" w:hAnsi="Arial" w:cs="Arial"/>
          <w:sz w:val="20"/>
          <w:szCs w:val="20"/>
        </w:rPr>
      </w:pPr>
    </w:p>
    <w:sectPr w:rsidR="00B81E38">
      <w:pgSz w:w="11905" w:h="16837"/>
      <w:pgMar w:top="1700" w:right="1133" w:bottom="1133" w:left="170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82967">
      <w:r>
        <w:separator/>
      </w:r>
    </w:p>
  </w:endnote>
  <w:endnote w:type="continuationSeparator" w:id="0">
    <w:p w:rsidR="00000000" w:rsidRDefault="00E82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asa">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E38" w:rsidRDefault="00E82967">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B81E38" w:rsidRDefault="00B81E38">
    <w:pPr>
      <w:pBdr>
        <w:top w:val="nil"/>
        <w:left w:val="nil"/>
        <w:bottom w:val="nil"/>
        <w:right w:val="nil"/>
        <w:between w:val="nil"/>
      </w:pBdr>
      <w:tabs>
        <w:tab w:val="center" w:pos="4252"/>
        <w:tab w:val="right" w:pos="8504"/>
      </w:tabs>
      <w:rPr>
        <w:rFonts w:eastAsia="Times New Roman" w:cs="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82967">
      <w:r>
        <w:separator/>
      </w:r>
    </w:p>
  </w:footnote>
  <w:footnote w:type="continuationSeparator" w:id="0">
    <w:p w:rsidR="00000000" w:rsidRDefault="00E82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E38" w:rsidRDefault="00B81E38">
    <w:pPr>
      <w:widowControl/>
      <w:tabs>
        <w:tab w:val="center" w:pos="4252"/>
        <w:tab w:val="right" w:pos="8504"/>
      </w:tabs>
      <w:rPr>
        <w:rFonts w:ascii="Arial" w:eastAsia="Arial" w:hAnsi="Arial" w:cs="Arial"/>
        <w:sz w:val="22"/>
        <w:szCs w:val="22"/>
      </w:rPr>
    </w:pPr>
  </w:p>
  <w:tbl>
    <w:tblPr>
      <w:tblStyle w:val="a4"/>
      <w:tblW w:w="12660"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3000"/>
      <w:gridCol w:w="9660"/>
    </w:tblGrid>
    <w:tr w:rsidR="00B81E38">
      <w:trPr>
        <w:trHeight w:val="1418"/>
        <w:jc w:val="center"/>
      </w:trPr>
      <w:tc>
        <w:tcPr>
          <w:tcW w:w="3000" w:type="dxa"/>
          <w:vAlign w:val="center"/>
        </w:tcPr>
        <w:p w:rsidR="00B81E38" w:rsidRDefault="00B81E38">
          <w:pPr>
            <w:widowControl/>
            <w:tabs>
              <w:tab w:val="center" w:pos="4252"/>
              <w:tab w:val="right" w:pos="8504"/>
            </w:tabs>
            <w:jc w:val="center"/>
            <w:rPr>
              <w:rFonts w:ascii="Arial" w:eastAsia="Arial" w:hAnsi="Arial" w:cs="Arial"/>
              <w:sz w:val="22"/>
              <w:szCs w:val="22"/>
            </w:rPr>
          </w:pPr>
          <w:bookmarkStart w:id="1" w:name="_heading=h.gjdgxs" w:colFirst="0" w:colLast="0"/>
          <w:bookmarkEnd w:id="1"/>
        </w:p>
      </w:tc>
      <w:tc>
        <w:tcPr>
          <w:tcW w:w="9660" w:type="dxa"/>
          <w:vAlign w:val="center"/>
        </w:tcPr>
        <w:p w:rsidR="00B81E38" w:rsidRDefault="00E82967">
          <w:pPr>
            <w:widowControl/>
            <w:tabs>
              <w:tab w:val="center" w:pos="4252"/>
              <w:tab w:val="right" w:pos="8504"/>
            </w:tabs>
            <w:ind w:hanging="108"/>
            <w:jc w:val="center"/>
            <w:rPr>
              <w:rFonts w:ascii="Arial" w:eastAsia="Arial" w:hAnsi="Arial" w:cs="Arial"/>
              <w:b/>
              <w:sz w:val="26"/>
              <w:szCs w:val="26"/>
            </w:rPr>
          </w:pPr>
          <w:r>
            <w:rPr>
              <w:noProof/>
            </w:rPr>
            <w:drawing>
              <wp:anchor distT="0" distB="0" distL="114300" distR="114300" simplePos="0" relativeHeight="251659264" behindDoc="1" locked="0" layoutInCell="1" allowOverlap="1" wp14:anchorId="247917CA" wp14:editId="5492568E">
                <wp:simplePos x="0" y="0"/>
                <wp:positionH relativeFrom="column">
                  <wp:posOffset>-1772920</wp:posOffset>
                </wp:positionH>
                <wp:positionV relativeFrom="paragraph">
                  <wp:posOffset>12700</wp:posOffset>
                </wp:positionV>
                <wp:extent cx="1163955" cy="718185"/>
                <wp:effectExtent l="0" t="0" r="0" b="571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163955" cy="718185"/>
                        </a:xfrm>
                        <a:prstGeom prst="rect">
                          <a:avLst/>
                        </a:prstGeom>
                      </pic:spPr>
                    </pic:pic>
                  </a:graphicData>
                </a:graphic>
                <wp14:sizeRelH relativeFrom="page">
                  <wp14:pctWidth>0</wp14:pctWidth>
                </wp14:sizeRelH>
                <wp14:sizeRelV relativeFrom="page">
                  <wp14:pctHeight>0</wp14:pctHeight>
                </wp14:sizeRelV>
              </wp:anchor>
            </w:drawing>
          </w:r>
          <w:r>
            <w:rPr>
              <w:rFonts w:ascii="Arial" w:eastAsia="Arial" w:hAnsi="Arial" w:cs="Arial"/>
              <w:b/>
              <w:sz w:val="26"/>
              <w:szCs w:val="26"/>
            </w:rPr>
            <w:t>Tribunal de Contas do Estado de Goiás</w:t>
          </w:r>
        </w:p>
        <w:p w:rsidR="00B81E38" w:rsidRDefault="00E82967">
          <w:pPr>
            <w:widowControl/>
            <w:tabs>
              <w:tab w:val="center" w:pos="4252"/>
              <w:tab w:val="right" w:pos="8504"/>
            </w:tabs>
            <w:ind w:hanging="108"/>
            <w:jc w:val="center"/>
            <w:rPr>
              <w:rFonts w:ascii="Arial" w:eastAsia="Arial" w:hAnsi="Arial" w:cs="Arial"/>
            </w:rPr>
          </w:pPr>
          <w:r>
            <w:rPr>
              <w:rFonts w:ascii="Arial" w:eastAsia="Arial" w:hAnsi="Arial" w:cs="Arial"/>
            </w:rPr>
            <w:t>Secretaria de Controle Externo</w:t>
          </w:r>
        </w:p>
        <w:p w:rsidR="00B81E38" w:rsidRDefault="00E82967">
          <w:pPr>
            <w:widowControl/>
            <w:tabs>
              <w:tab w:val="center" w:pos="4252"/>
              <w:tab w:val="right" w:pos="8504"/>
            </w:tabs>
            <w:ind w:hanging="108"/>
            <w:jc w:val="center"/>
            <w:rPr>
              <w:rFonts w:ascii="Arial" w:eastAsia="Arial" w:hAnsi="Arial" w:cs="Arial"/>
              <w:color w:val="FF0000"/>
              <w:sz w:val="22"/>
              <w:szCs w:val="22"/>
            </w:rPr>
          </w:pPr>
          <w:r>
            <w:rPr>
              <w:rFonts w:ascii="Arial" w:eastAsia="Arial" w:hAnsi="Arial" w:cs="Arial"/>
              <w:color w:val="FF0000"/>
              <w:sz w:val="22"/>
              <w:szCs w:val="22"/>
            </w:rPr>
            <w:t>Gerência de Fiscalização de …</w:t>
          </w:r>
        </w:p>
        <w:p w:rsidR="00B81E38" w:rsidRDefault="00E82967">
          <w:pPr>
            <w:widowControl/>
            <w:tabs>
              <w:tab w:val="center" w:pos="4252"/>
              <w:tab w:val="right" w:pos="8504"/>
            </w:tabs>
            <w:ind w:hanging="108"/>
            <w:jc w:val="center"/>
            <w:rPr>
              <w:rFonts w:ascii="Arial" w:eastAsia="Arial" w:hAnsi="Arial" w:cs="Arial"/>
            </w:rPr>
          </w:pPr>
          <w:r>
            <w:rPr>
              <w:rFonts w:ascii="Arial" w:eastAsia="Arial" w:hAnsi="Arial" w:cs="Arial"/>
              <w:color w:val="FF0000"/>
              <w:sz w:val="22"/>
              <w:szCs w:val="22"/>
            </w:rPr>
            <w:t>Serviço de Fiscalização de</w:t>
          </w:r>
          <w:proofErr w:type="gramStart"/>
          <w:r>
            <w:rPr>
              <w:rFonts w:ascii="Arial" w:eastAsia="Arial" w:hAnsi="Arial" w:cs="Arial"/>
              <w:color w:val="FF0000"/>
              <w:sz w:val="22"/>
              <w:szCs w:val="22"/>
            </w:rPr>
            <w:t xml:space="preserve"> ..</w:t>
          </w:r>
          <w:proofErr w:type="gramEnd"/>
        </w:p>
      </w:tc>
    </w:tr>
  </w:tbl>
  <w:p w:rsidR="00B81E38" w:rsidRDefault="00B81E38">
    <w:pPr>
      <w:widowControl/>
      <w:tabs>
        <w:tab w:val="center" w:pos="4252"/>
        <w:tab w:val="right" w:pos="8504"/>
      </w:tabs>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6278E"/>
    <w:multiLevelType w:val="multilevel"/>
    <w:tmpl w:val="5AFC0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EF7CDB"/>
    <w:multiLevelType w:val="multilevel"/>
    <w:tmpl w:val="538805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38"/>
    <w:rsid w:val="00B81E38"/>
    <w:rsid w:val="00E829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678E4C-BF66-4F00-88CF-E1DA9D47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eastAsia="Lucida Sans Unicode" w:cs="Mangal"/>
      <w:kern w:val="1"/>
      <w:lang w:eastAsia="hi-IN" w:bidi="hi-IN"/>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Ttulo10"/>
    <w:next w:val="Subttulo"/>
    <w:qFormat/>
  </w:style>
  <w:style w:type="paragraph" w:customStyle="1" w:styleId="Ttulo10">
    <w:name w:val="Título1"/>
    <w:basedOn w:val="Normal"/>
    <w:next w:val="Corpodetexto"/>
    <w:pPr>
      <w:keepNext/>
      <w:spacing w:before="240" w:after="120"/>
    </w:pPr>
    <w:rPr>
      <w:rFonts w:ascii="Arial" w:hAnsi="Arial"/>
      <w:sz w:val="28"/>
      <w:szCs w:val="28"/>
    </w:rPr>
  </w:style>
  <w:style w:type="paragraph" w:styleId="Corpodetexto">
    <w:name w:val="Body Text"/>
    <w:basedOn w:val="Normal"/>
    <w:pPr>
      <w:spacing w:after="120"/>
    </w:pPr>
  </w:style>
  <w:style w:type="paragraph" w:styleId="Subttulo">
    <w:name w:val="Subtitle"/>
    <w:basedOn w:val="Normal"/>
    <w:next w:val="Normal"/>
    <w:pPr>
      <w:keepNext/>
      <w:spacing w:before="240" w:after="120"/>
      <w:jc w:val="center"/>
    </w:pPr>
    <w:rPr>
      <w:rFonts w:ascii="Arial" w:eastAsia="Arial" w:hAnsi="Arial" w:cs="Arial"/>
      <w:i/>
      <w:sz w:val="28"/>
      <w:szCs w:val="28"/>
    </w:rPr>
  </w:style>
  <w:style w:type="paragraph" w:styleId="Lista">
    <w:name w:val="List"/>
    <w:basedOn w:val="Corpodetexto"/>
  </w:style>
  <w:style w:type="paragraph" w:customStyle="1" w:styleId="Legenda1">
    <w:name w:val="Legenda1"/>
    <w:basedOn w:val="Normal"/>
    <w:pPr>
      <w:suppressLineNumbers/>
      <w:spacing w:before="120" w:after="120"/>
    </w:pPr>
    <w:rPr>
      <w:i/>
      <w:iCs/>
    </w:rPr>
  </w:style>
  <w:style w:type="paragraph" w:customStyle="1" w:styleId="ndice">
    <w:name w:val="Índice"/>
    <w:basedOn w:val="Normal"/>
    <w:pPr>
      <w:suppressLineNumbers/>
    </w:pPr>
  </w:style>
  <w:style w:type="paragraph" w:styleId="Cabealho">
    <w:name w:val="header"/>
    <w:basedOn w:val="Normal"/>
    <w:link w:val="CabealhoChar"/>
    <w:uiPriority w:val="99"/>
    <w:pPr>
      <w:suppressLineNumbers/>
      <w:tabs>
        <w:tab w:val="center" w:pos="7285"/>
        <w:tab w:val="right" w:pos="14570"/>
      </w:tabs>
    </w:pPr>
  </w:style>
  <w:style w:type="paragraph" w:customStyle="1" w:styleId="Contedodetabela">
    <w:name w:val="Conteúdo de tabela"/>
    <w:basedOn w:val="Normal"/>
    <w:pPr>
      <w:suppressLineNumbers/>
    </w:pPr>
  </w:style>
  <w:style w:type="paragraph" w:styleId="Rodap">
    <w:name w:val="footer"/>
    <w:basedOn w:val="Normal"/>
    <w:link w:val="RodapChar"/>
    <w:uiPriority w:val="99"/>
    <w:rsid w:val="005D46C9"/>
    <w:pPr>
      <w:tabs>
        <w:tab w:val="center" w:pos="4252"/>
        <w:tab w:val="right" w:pos="8504"/>
      </w:tabs>
    </w:pPr>
  </w:style>
  <w:style w:type="character" w:styleId="Nmerodepgina">
    <w:name w:val="page number"/>
    <w:basedOn w:val="Fontepargpadro"/>
    <w:rsid w:val="003F3F28"/>
  </w:style>
  <w:style w:type="table" w:styleId="Tabelacomgrade">
    <w:name w:val="Table Grid"/>
    <w:basedOn w:val="Tabelanormal"/>
    <w:rsid w:val="00C5446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3679C8"/>
    <w:rPr>
      <w:rFonts w:ascii="Tahoma" w:hAnsi="Tahoma" w:cs="Tahoma"/>
      <w:sz w:val="16"/>
      <w:szCs w:val="16"/>
    </w:rPr>
  </w:style>
  <w:style w:type="character" w:customStyle="1" w:styleId="RodapChar">
    <w:name w:val="Rodapé Char"/>
    <w:link w:val="Rodap"/>
    <w:uiPriority w:val="99"/>
    <w:rsid w:val="0027293D"/>
    <w:rPr>
      <w:rFonts w:eastAsia="Lucida Sans Unicode" w:cs="Mangal"/>
      <w:kern w:val="1"/>
      <w:sz w:val="24"/>
      <w:szCs w:val="24"/>
      <w:lang w:eastAsia="hi-IN" w:bidi="hi-IN"/>
    </w:rPr>
  </w:style>
  <w:style w:type="character" w:customStyle="1" w:styleId="CabealhoChar">
    <w:name w:val="Cabeçalho Char"/>
    <w:link w:val="Cabealho"/>
    <w:uiPriority w:val="99"/>
    <w:rsid w:val="00120AC1"/>
    <w:rPr>
      <w:rFonts w:eastAsia="Lucida Sans Unicode" w:cs="Mangal"/>
      <w:kern w:val="1"/>
      <w:sz w:val="24"/>
      <w:szCs w:val="24"/>
      <w:lang w:eastAsia="hi-IN" w:bidi="hi-IN"/>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pPr>
      <w:widowControl/>
    </w:pPr>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4">
    <w:basedOn w:val="TableNormal"/>
    <w:rPr>
      <w:rFonts w:ascii="Cambria" w:eastAsia="Cambria" w:hAnsi="Cambria" w:cs="Cambria"/>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onjur.com.br/2023-jan-10/viana-melo-competencia-sancionadora-tribunais-cont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vista.tce.mg.gov.br/revista/index.php/TCEMG/article/view/563/53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tcu.gov.br/biblioteca-digital/responsabilizacao-de-agentes-segundo-a-jurisprudencia-do-tcu-uma-abordagem-a-partir-de-licitacoes-e-contratos-aulas-1-a-5.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cers.tc.br/repo/orientacoes_gestores/RESPONSABILIZACAO-AGENTES.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ortal.stf.jus.br/constituicao-supremo/artigo.asp?abrirBase=CF&amp;abrirArtigo=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n/uKz4tj8Vj+JBWaDvHKlNaClQ==">CgMxLjAyCGguZ2pkZ3hzMghoLmdqZGd4czgAciExOTBKUDNLR24xRG8wMTFSanJBbndKbFUxRzQ5dE9FdWM=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1228</Words>
  <Characters>6633</Characters>
  <Application>Microsoft Office Word</Application>
  <DocSecurity>0</DocSecurity>
  <Lines>55</Lines>
  <Paragraphs>15</Paragraphs>
  <ScaleCrop>false</ScaleCrop>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Paula de Araujo Rocha</dc:creator>
  <cp:lastModifiedBy>Andrea Calixto Abdalla Ribeiro</cp:lastModifiedBy>
  <cp:revision>2</cp:revision>
  <dcterms:created xsi:type="dcterms:W3CDTF">2024-02-28T19:10:00Z</dcterms:created>
  <dcterms:modified xsi:type="dcterms:W3CDTF">2025-07-30T12:46:00Z</dcterms:modified>
</cp:coreProperties>
</file>